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jc w:val="both"/>
        <w:rPr>
          <w:rFonts w:ascii="Calibri" w:hAnsi="Calibri" w:eastAsia="Times New Roman" w:cs="Calibri" w:asciiTheme="minorHAnsi" w:cstheme="minorHAnsi" w:hAnsiTheme="minorHAnsi"/>
          <w:color w:val="FF0000"/>
          <w:lang w:eastAsia="it-IT"/>
        </w:rPr>
      </w:pPr>
      <w:r>
        <w:rPr>
          <w:rFonts w:eastAsia="Times New Roman" w:cs="Calibri" w:cstheme="minorHAnsi" w:ascii="Calibri" w:hAnsi="Calibri"/>
          <w:color w:val="FF0000"/>
          <w:lang w:eastAsia="it-IT"/>
        </w:rPr>
      </w:r>
    </w:p>
    <w:p>
      <w:pPr>
        <w:pStyle w:val="Normal"/>
        <w:widowControl/>
        <w:jc w:val="both"/>
        <w:rPr>
          <w:rFonts w:ascii="Calibri" w:hAnsi="Calibri" w:eastAsia="Times New Roman" w:cs="Calibri" w:asciiTheme="minorHAnsi" w:cstheme="minorHAnsi" w:hAnsiTheme="minorHAnsi"/>
          <w:color w:val="FF0000"/>
          <w:lang w:eastAsia="it-IT"/>
        </w:rPr>
      </w:pPr>
      <w:r>
        <w:rPr>
          <w:rFonts w:eastAsia="Times New Roman" w:cs="Calibri" w:cstheme="minorHAnsi" w:ascii="Calibri" w:hAnsi="Calibri"/>
          <w:color w:val="FF0000"/>
          <w:lang w:eastAsia="it-IT"/>
        </w:rPr>
      </w:r>
    </w:p>
    <w:p>
      <w:pPr>
        <w:pStyle w:val="Normal"/>
        <w:widowControl/>
        <w:jc w:val="both"/>
        <w:rPr>
          <w:rFonts w:ascii="Calibri" w:hAnsi="Calibri" w:eastAsia="Times New Roman" w:cs="Calibri" w:asciiTheme="minorHAnsi" w:cstheme="minorHAnsi" w:hAnsiTheme="minorHAnsi"/>
          <w:lang w:val="en-US" w:eastAsia="it-IT"/>
        </w:rPr>
      </w:pPr>
      <w:r>
        <w:rPr>
          <w:rFonts w:eastAsia="Times New Roman" w:cs="Calibri" w:ascii="Calibri" w:hAnsi="Calibri" w:asciiTheme="minorHAnsi" w:cstheme="minorHAnsi" w:hAnsiTheme="minorHAnsi"/>
          <w:lang w:val="en-US" w:eastAsia="it-IT"/>
        </w:rPr>
        <w:t>Rep. n.</w:t>
      </w:r>
    </w:p>
    <w:p>
      <w:pPr>
        <w:pStyle w:val="Normal"/>
        <w:widowControl/>
        <w:jc w:val="center"/>
        <w:rPr>
          <w:rFonts w:ascii="Calibri" w:hAnsi="Calibri" w:eastAsia="Times New Roman" w:cs="Calibri" w:asciiTheme="minorHAnsi" w:cstheme="minorHAnsi" w:hAnsiTheme="minorHAnsi"/>
          <w:b/>
          <w:b/>
          <w:lang w:eastAsia="it-IT"/>
        </w:rPr>
      </w:pPr>
      <w:r>
        <w:rPr>
          <w:rFonts w:eastAsia="Times New Roman" w:cs="Calibri" w:ascii="Calibri" w:hAnsi="Calibri" w:asciiTheme="minorHAnsi" w:cstheme="minorHAnsi" w:hAnsiTheme="minorHAnsi"/>
          <w:b/>
          <w:lang w:eastAsia="it-IT"/>
        </w:rPr>
        <w:t xml:space="preserve"> </w:t>
      </w:r>
      <w:r>
        <w:rPr>
          <w:rFonts w:eastAsia="Times New Roman" w:cs="Calibri" w:ascii="Calibri" w:hAnsi="Calibri" w:asciiTheme="minorHAnsi" w:cstheme="minorHAnsi" w:hAnsiTheme="minorHAnsi"/>
          <w:b/>
          <w:lang w:eastAsia="it-IT"/>
        </w:rPr>
        <w:t>C I T T A’ D I   GIUGLIANO IN CAMPANIA  - ATS N14</w:t>
      </w:r>
    </w:p>
    <w:p>
      <w:pPr>
        <w:pStyle w:val="Normal"/>
        <w:widowControl/>
        <w:jc w:val="center"/>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(Provincia di NAPOLI)</w:t>
      </w:r>
    </w:p>
    <w:p>
      <w:pPr>
        <w:pStyle w:val="Normal"/>
        <w:widowControl/>
        <w:jc w:val="center"/>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center"/>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Repubblica Italiana</w:t>
      </w:r>
    </w:p>
    <w:p>
      <w:pPr>
        <w:pStyle w:val="Corpodeltesto"/>
        <w:ind w:left="0" w:right="-236" w:hanging="0"/>
        <w:jc w:val="left"/>
        <w:rPr>
          <w:rFonts w:ascii="Calibri" w:hAnsi="Calibri" w:cs="Calibri" w:asciiTheme="minorHAnsi" w:cstheme="minorHAnsi" w:hAnsiTheme="minorHAnsi"/>
          <w:b/>
          <w:b/>
          <w:sz w:val="22"/>
          <w:szCs w:val="22"/>
        </w:rPr>
      </w:pPr>
      <w:r>
        <w:rPr>
          <w:rFonts w:cs="Calibri" w:cstheme="minorHAnsi" w:ascii="Calibri" w:hAnsi="Calibri"/>
          <w:b/>
          <w:sz w:val="22"/>
          <w:szCs w:val="22"/>
        </w:rPr>
      </w:r>
    </w:p>
    <w:p>
      <w:pPr>
        <w:pStyle w:val="Normal"/>
        <w:tabs>
          <w:tab w:val="clear" w:pos="720"/>
          <w:tab w:val="left" w:pos="2321" w:leader="none"/>
        </w:tabs>
        <w:ind w:left="175" w:right="-236" w:hanging="0"/>
        <w:jc w:val="both"/>
        <w:rPr>
          <w:rFonts w:ascii="Calibri" w:hAnsi="Calibri" w:eastAsia="Times New Roman" w:cs="Calibri" w:asciiTheme="minorHAnsi" w:cstheme="minorHAnsi" w:hAnsiTheme="minorHAnsi"/>
          <w:b/>
          <w:b/>
          <w:bCs/>
        </w:rPr>
      </w:pPr>
      <w:r>
        <w:rPr>
          <w:rFonts w:cs="Calibri" w:ascii="Calibri" w:hAnsi="Calibri" w:asciiTheme="minorHAnsi" w:cstheme="minorHAnsi" w:hAnsiTheme="minorHAnsi"/>
          <w:b/>
          <w:bCs/>
        </w:rPr>
        <w:softHyphen/>
        <w:softHyphen/>
        <w:softHyphen/>
        <w:softHyphen/>
        <w:softHyphen/>
        <w:softHyphen/>
        <w:softHyphen/>
        <w:softHyphen/>
        <w:softHyphen/>
        <w:softHyphen/>
      </w:r>
    </w:p>
    <w:p>
      <w:pPr>
        <w:pStyle w:val="Normal"/>
        <w:tabs>
          <w:tab w:val="clear" w:pos="720"/>
          <w:tab w:val="left" w:pos="2321" w:leader="none"/>
        </w:tabs>
        <w:spacing w:before="156" w:after="160"/>
        <w:ind w:left="175" w:right="-236" w:hanging="0"/>
        <w:jc w:val="both"/>
        <w:rPr>
          <w:rFonts w:ascii="Calibri" w:hAnsi="Calibri" w:cs="Calibri"/>
          <w:b/>
          <w:b/>
          <w:bCs/>
          <w:sz w:val="20"/>
          <w:szCs w:val="20"/>
        </w:rPr>
      </w:pPr>
      <w:r>
        <w:rPr>
          <w:rFonts w:cs="Calibri" w:ascii="Calibri" w:hAnsi="Calibri" w:asciiTheme="minorHAnsi" w:cstheme="minorHAnsi" w:hAnsiTheme="minorHAnsi"/>
          <w:b/>
          <w:bCs/>
          <w:spacing w:val="-2"/>
          <w:sz w:val="20"/>
          <w:szCs w:val="20"/>
        </w:rPr>
        <w:t xml:space="preserve">GARA  A PROCEDURA APERTA (ai sensi dell’art. 71 del D. Lgs. n.36/2023) PER L’AFFIDAMENTO DEL SERVIZIO “CENTRO FAMIGLIA” CON UN OPERATORE ECONOMICO  DELLA DURATA DI DUE ANNI </w:t>
      </w:r>
    </w:p>
    <w:p>
      <w:pPr>
        <w:pStyle w:val="Normal"/>
        <w:tabs>
          <w:tab w:val="clear" w:pos="720"/>
          <w:tab w:val="left" w:pos="2321" w:leader="none"/>
        </w:tabs>
        <w:ind w:left="175" w:right="-236" w:hanging="0"/>
        <w:jc w:val="both"/>
        <w:rPr>
          <w:rFonts w:ascii="Calibri" w:hAnsi="Calibri" w:cs="Calibri" w:asciiTheme="minorHAnsi" w:cstheme="minorHAnsi" w:hAnsiTheme="minorHAnsi"/>
          <w:b/>
          <w:b/>
          <w:spacing w:val="-2"/>
        </w:rPr>
      </w:pPr>
      <w:r>
        <w:rPr>
          <w:rFonts w:cs="Calibri" w:cstheme="minorHAnsi" w:ascii="Calibri" w:hAnsi="Calibri"/>
          <w:b/>
          <w:spacing w:val="-2"/>
        </w:rPr>
      </w:r>
    </w:p>
    <w:p>
      <w:pPr>
        <w:pStyle w:val="Normal"/>
        <w:tabs>
          <w:tab w:val="clear" w:pos="720"/>
          <w:tab w:val="left" w:pos="2321" w:leader="none"/>
        </w:tabs>
        <w:ind w:left="175" w:right="-236" w:hanging="0"/>
        <w:jc w:val="both"/>
        <w:rPr>
          <w:rFonts w:ascii="Calibri" w:hAnsi="Calibri" w:cs="Calibri" w:asciiTheme="minorHAnsi" w:cstheme="minorHAnsi" w:hAnsiTheme="minorHAnsi"/>
          <w:b/>
          <w:b/>
        </w:rPr>
      </w:pPr>
      <w:r>
        <w:rPr>
          <w:rFonts w:cs="Calibri" w:ascii="Calibri" w:hAnsi="Calibri" w:asciiTheme="minorHAnsi" w:cstheme="minorHAnsi" w:hAnsiTheme="minorHAnsi"/>
          <w:b/>
          <w:spacing w:val="-2"/>
        </w:rPr>
        <w:t>C.I.G.:</w:t>
      </w:r>
      <w:r>
        <w:rPr>
          <w:rFonts w:cs="Calibri" w:ascii="Calibri" w:hAnsi="Calibri" w:asciiTheme="minorHAnsi" w:cstheme="minorHAnsi" w:hAnsiTheme="minorHAnsi"/>
          <w:u w:val="single"/>
        </w:rPr>
        <w:tab/>
      </w:r>
      <w:r>
        <w:rPr>
          <w:rFonts w:cs="Calibri" w:ascii="Calibri" w:hAnsi="Calibri" w:asciiTheme="minorHAnsi" w:cstheme="minorHAnsi" w:hAnsiTheme="minorHAnsi"/>
          <w:b/>
          <w:spacing w:val="-10"/>
        </w:rPr>
        <w:t>;</w:t>
      </w:r>
    </w:p>
    <w:p>
      <w:pPr>
        <w:pStyle w:val="Normal"/>
        <w:tabs>
          <w:tab w:val="clear" w:pos="720"/>
          <w:tab w:val="left" w:pos="4710" w:leader="none"/>
        </w:tabs>
        <w:ind w:left="175" w:right="-236" w:hanging="0"/>
        <w:jc w:val="both"/>
        <w:rPr>
          <w:rFonts w:ascii="Calibri" w:hAnsi="Calibri" w:cs="Calibri" w:asciiTheme="minorHAnsi" w:cstheme="minorHAnsi" w:hAnsiTheme="minorHAnsi"/>
          <w:b/>
          <w:b/>
        </w:rPr>
      </w:pPr>
      <w:r>
        <w:rPr>
          <w:rFonts w:cs="Calibri" w:ascii="Calibri" w:hAnsi="Calibri" w:asciiTheme="minorHAnsi" w:cstheme="minorHAnsi" w:hAnsiTheme="minorHAnsi"/>
          <w:b/>
        </w:rPr>
        <w:t>CUP.:_______________;</w:t>
      </w:r>
    </w:p>
    <w:p>
      <w:pPr>
        <w:pStyle w:val="Normal"/>
        <w:tabs>
          <w:tab w:val="clear" w:pos="720"/>
          <w:tab w:val="left" w:pos="4710" w:leader="none"/>
        </w:tabs>
        <w:ind w:left="175" w:right="-236" w:hanging="0"/>
        <w:rPr>
          <w:rFonts w:ascii="Calibri" w:hAnsi="Calibri" w:cs="Calibri" w:asciiTheme="minorHAnsi" w:cstheme="minorHAnsi" w:hAnsiTheme="minorHAnsi"/>
          <w:b/>
          <w:b/>
        </w:rPr>
      </w:pPr>
      <w:r>
        <w:rPr>
          <w:rFonts w:cs="Calibri" w:cstheme="minorHAnsi" w:ascii="Calibri" w:hAnsi="Calibri"/>
          <w:b/>
        </w:rPr>
      </w:r>
    </w:p>
    <w:p>
      <w:pPr>
        <w:pStyle w:val="Normal"/>
        <w:tabs>
          <w:tab w:val="clear" w:pos="720"/>
          <w:tab w:val="left" w:pos="4710" w:leader="none"/>
        </w:tabs>
        <w:ind w:left="175" w:right="-236" w:hanging="0"/>
        <w:rPr>
          <w:rFonts w:ascii="Calibri" w:hAnsi="Calibri" w:cs="Calibri" w:asciiTheme="minorHAnsi" w:cstheme="minorHAnsi" w:hAnsiTheme="minorHAnsi"/>
        </w:rPr>
      </w:pPr>
      <w:r>
        <w:rPr>
          <w:rFonts w:cs="Calibri" w:ascii="Calibri" w:hAnsi="Calibri" w:asciiTheme="minorHAnsi" w:cstheme="minorHAnsi" w:hAnsiTheme="minorHAnsi"/>
          <w:b/>
        </w:rPr>
        <w:t>Valore</w:t>
      </w:r>
      <w:r>
        <w:rPr>
          <w:rFonts w:cs="Calibri" w:ascii="Calibri" w:hAnsi="Calibri" w:asciiTheme="minorHAnsi" w:cstheme="minorHAnsi" w:hAnsiTheme="minorHAnsi"/>
          <w:b/>
          <w:spacing w:val="-5"/>
        </w:rPr>
        <w:t xml:space="preserve"> </w:t>
      </w:r>
      <w:r>
        <w:rPr>
          <w:rFonts w:cs="Calibri" w:ascii="Calibri" w:hAnsi="Calibri" w:asciiTheme="minorHAnsi" w:cstheme="minorHAnsi" w:hAnsiTheme="minorHAnsi"/>
          <w:b/>
        </w:rPr>
        <w:t>Complessivo</w:t>
      </w:r>
      <w:r>
        <w:rPr>
          <w:rFonts w:cs="Calibri" w:ascii="Calibri" w:hAnsi="Calibri" w:asciiTheme="minorHAnsi" w:cstheme="minorHAnsi" w:hAnsiTheme="minorHAnsi"/>
          <w:b/>
          <w:spacing w:val="-5"/>
        </w:rPr>
        <w:t xml:space="preserve"> </w:t>
      </w:r>
      <w:r>
        <w:rPr>
          <w:rFonts w:cs="Calibri" w:ascii="Calibri" w:hAnsi="Calibri" w:asciiTheme="minorHAnsi" w:cstheme="minorHAnsi" w:hAnsiTheme="minorHAnsi"/>
          <w:b/>
        </w:rPr>
        <w:t>Contratto</w:t>
      </w:r>
      <w:r>
        <w:rPr>
          <w:rFonts w:cs="Calibri" w:ascii="Calibri" w:hAnsi="Calibri" w:asciiTheme="minorHAnsi" w:cstheme="minorHAnsi" w:hAnsiTheme="minorHAnsi"/>
          <w:b/>
          <w:spacing w:val="-3"/>
        </w:rPr>
        <w:t xml:space="preserve"> </w:t>
      </w:r>
      <w:r>
        <w:rPr>
          <w:rFonts w:cs="Calibri" w:ascii="Calibri" w:hAnsi="Calibri" w:asciiTheme="minorHAnsi" w:cstheme="minorHAnsi" w:hAnsiTheme="minorHAnsi"/>
        </w:rPr>
        <w:t>:</w:t>
      </w:r>
      <w:r>
        <w:rPr>
          <w:rFonts w:cs="Calibri" w:ascii="Calibri" w:hAnsi="Calibri" w:asciiTheme="minorHAnsi" w:cstheme="minorHAnsi" w:hAnsiTheme="minorHAnsi"/>
          <w:spacing w:val="-4"/>
        </w:rPr>
        <w:t xml:space="preserve"> </w:t>
      </w:r>
      <w:r>
        <w:rPr>
          <w:rFonts w:cs="Calibri" w:ascii="Calibri" w:hAnsi="Calibri" w:asciiTheme="minorHAnsi" w:cstheme="minorHAnsi" w:hAnsiTheme="minorHAnsi"/>
          <w:spacing w:val="-5"/>
        </w:rPr>
        <w:t>€.</w:t>
      </w:r>
      <w:r>
        <w:rPr>
          <w:rFonts w:cs="Calibri" w:ascii="Calibri" w:hAnsi="Calibri" w:asciiTheme="minorHAnsi" w:cstheme="minorHAnsi" w:hAnsiTheme="minorHAnsi"/>
          <w:u w:val="single"/>
        </w:rPr>
        <w:tab/>
      </w:r>
      <w:r>
        <w:rPr>
          <w:rFonts w:cs="Calibri" w:ascii="Calibri" w:hAnsi="Calibri" w:asciiTheme="minorHAnsi" w:cstheme="minorHAnsi" w:hAnsiTheme="minorHAnsi"/>
        </w:rPr>
        <w:t>oltre</w:t>
      </w:r>
      <w:r>
        <w:rPr>
          <w:rFonts w:cs="Calibri" w:ascii="Calibri" w:hAnsi="Calibri" w:asciiTheme="minorHAnsi" w:cstheme="minorHAnsi" w:hAnsiTheme="minorHAnsi"/>
          <w:spacing w:val="-5"/>
        </w:rPr>
        <w:t xml:space="preserve"> </w:t>
      </w:r>
      <w:r>
        <w:rPr>
          <w:rFonts w:cs="Calibri" w:ascii="Calibri" w:hAnsi="Calibri" w:asciiTheme="minorHAnsi" w:cstheme="minorHAnsi" w:hAnsiTheme="minorHAnsi"/>
        </w:rPr>
        <w:t>IVA</w:t>
      </w:r>
      <w:r>
        <w:rPr>
          <w:rFonts w:cs="Calibri" w:ascii="Calibri" w:hAnsi="Calibri" w:asciiTheme="minorHAnsi" w:cstheme="minorHAnsi" w:hAnsiTheme="minorHAnsi"/>
          <w:spacing w:val="-3"/>
        </w:rPr>
        <w:t xml:space="preserve"> </w:t>
      </w:r>
      <w:r>
        <w:rPr>
          <w:rFonts w:cs="Calibri" w:ascii="Calibri" w:hAnsi="Calibri" w:asciiTheme="minorHAnsi" w:cstheme="minorHAnsi" w:hAnsiTheme="minorHAnsi"/>
          <w:spacing w:val="-10"/>
        </w:rPr>
        <w:t>;</w:t>
      </w:r>
    </w:p>
    <w:p>
      <w:pPr>
        <w:pStyle w:val="Corpodeltesto"/>
        <w:ind w:left="0" w:right="-236" w:hanging="0"/>
        <w:jc w:val="left"/>
        <w:rPr>
          <w:rFonts w:ascii="Calibri" w:hAnsi="Calibri" w:cs="Calibri" w:asciiTheme="minorHAnsi" w:cstheme="minorHAnsi" w:hAnsiTheme="minorHAnsi"/>
          <w:color w:val="FF0000"/>
          <w:sz w:val="22"/>
          <w:szCs w:val="22"/>
        </w:rPr>
      </w:pPr>
      <w:r>
        <w:rPr>
          <w:rFonts w:cs="Calibri" w:cstheme="minorHAnsi" w:ascii="Calibri" w:hAnsi="Calibri"/>
          <w:color w:val="FF0000"/>
          <w:sz w:val="22"/>
          <w:szCs w:val="22"/>
        </w:rPr>
      </w:r>
    </w:p>
    <w:p>
      <w:pPr>
        <w:pStyle w:val="Corpodeltesto"/>
        <w:ind w:left="0" w:right="-236" w:hanging="0"/>
        <w:jc w:val="left"/>
        <w:rPr>
          <w:rFonts w:ascii="Calibri" w:hAnsi="Calibri" w:cs="Calibri" w:asciiTheme="minorHAnsi" w:cstheme="minorHAnsi" w:hAnsiTheme="minorHAnsi"/>
          <w:color w:val="FF0000"/>
          <w:sz w:val="22"/>
          <w:szCs w:val="22"/>
        </w:rPr>
      </w:pPr>
      <w:r>
        <w:rPr>
          <w:rFonts w:cs="Calibri" w:cstheme="minorHAnsi" w:ascii="Calibri" w:hAnsi="Calibri"/>
          <w:color w:val="FF0000"/>
          <w:sz w:val="22"/>
          <w:szCs w:val="22"/>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L’anno ______________, il giorno _____________ del mese di ______________ in Giugliano in Campania e nella sede comunale, avanti a me Dr.  _________________, Segretario Generale del Comune di Giugliano in Campania, abilitato a rogare contratti per l’Ente, si sono personalmente costituiti:                                                                                                                                    </w:t>
        <w:tab/>
        <w:tab/>
        <w:t xml:space="preserve"> ============================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 Il Comune di Giugliano in Campania (CF: 80049220637) in persona del Dirigente dell’Ambito N14 __________________________, autorizzato alla stipula della presente Convenzione, in virtù del Decreto _______________________ dom.to per la carica presso la sede municipale, che dichiara di agire e stipulare in nome, per conto e nell'esclusivo interesse del Comune medesimo, in qualità di capofila dell’Ambito N14, in virtù dello Statuto Comunale e del Regolamento Comunale per la disciplina dei contratti, della convenzione ex art. 30 del TUEL il quale dichiara: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 di non avere avuto rapporti di natura privatistica con i firmatari della Società nel biennio precedente alla presente stipula (art. 14 D.P.R. n. 62/2013 “Codice di comportamento dei dipendenti pubblici”);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che “non esistono relazioni di parentela o affinità tra i propri dipendenti ed il funzionario ed i soggetti facenti parte dell'impresa aggiudicataria dell'appalto in oggetto”.</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 L’operatore economico </w:t>
      </w:r>
      <w:r>
        <w:rPr>
          <w:rFonts w:eastAsia="Times New Roman" w:cs="Calibri" w:ascii="Calibri" w:hAnsi="Calibri" w:asciiTheme="minorHAnsi" w:cstheme="minorHAnsi" w:hAnsiTheme="minorHAnsi"/>
          <w:bCs/>
          <w:lang w:eastAsia="it-IT"/>
        </w:rPr>
        <w:t>_________________ P. IVA ___________________, con sede legale in __________________________,</w:t>
      </w:r>
      <w:r>
        <w:rPr>
          <w:rFonts w:eastAsia="Times New Roman" w:cs="Calibri" w:ascii="Calibri" w:hAnsi="Calibri" w:asciiTheme="minorHAnsi" w:cstheme="minorHAnsi" w:hAnsiTheme="minorHAnsi"/>
          <w:lang w:eastAsia="it-IT"/>
        </w:rPr>
        <w:t xml:space="preserve"> legalmente rappresentata dal Sig. _____________________, nato a __________________ il _________________ in qualità di _________________;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Dell’identità delle parti, Io Segretario Generale sono certo, le quali con il mio consenso, rinunciano alla presenza dei testi nella stesura del presente atto.</w:t>
      </w:r>
    </w:p>
    <w:p>
      <w:pPr>
        <w:pStyle w:val="Corpodeltesto"/>
        <w:tabs>
          <w:tab w:val="clear" w:pos="720"/>
          <w:tab w:val="left" w:pos="2774" w:leader="none"/>
          <w:tab w:val="left" w:pos="6187" w:leader="none"/>
          <w:tab w:val="left" w:pos="9099" w:leader="none"/>
        </w:tabs>
        <w:spacing w:before="1" w:after="0"/>
        <w:ind w:left="175" w:right="-236" w:hanging="0"/>
        <w:jc w:val="left"/>
        <w:rPr>
          <w:rFonts w:ascii="Calibri" w:hAnsi="Calibri" w:cs="Calibri" w:asciiTheme="minorHAnsi" w:cstheme="minorHAnsi" w:hAnsiTheme="minorHAnsi"/>
          <w:color w:val="FF0000"/>
          <w:spacing w:val="-2"/>
          <w:sz w:val="22"/>
          <w:szCs w:val="22"/>
        </w:rPr>
      </w:pPr>
      <w:r>
        <w:rPr>
          <w:rFonts w:cs="Calibri" w:cstheme="minorHAnsi" w:ascii="Calibri" w:hAnsi="Calibri"/>
          <w:color w:val="FF0000"/>
          <w:spacing w:val="-2"/>
          <w:sz w:val="22"/>
          <w:szCs w:val="22"/>
        </w:rPr>
      </w:r>
    </w:p>
    <w:p>
      <w:pPr>
        <w:pStyle w:val="Normal"/>
        <w:widowControl/>
        <w:jc w:val="center"/>
        <w:rPr>
          <w:rFonts w:ascii="Calibri" w:hAnsi="Calibri" w:eastAsia="Times New Roman" w:cs="Calibri" w:asciiTheme="minorHAnsi" w:cstheme="minorHAnsi" w:hAnsiTheme="minorHAnsi"/>
          <w:b/>
          <w:b/>
          <w:lang w:eastAsia="it-IT"/>
        </w:rPr>
      </w:pPr>
      <w:r>
        <w:rPr>
          <w:rFonts w:eastAsia="Times New Roman" w:cs="Calibri" w:ascii="Calibri" w:hAnsi="Calibri" w:asciiTheme="minorHAnsi" w:cstheme="minorHAnsi" w:hAnsiTheme="minorHAnsi"/>
          <w:b/>
          <w:lang w:eastAsia="it-IT"/>
        </w:rPr>
        <w:t>PREMESSO</w:t>
      </w:r>
    </w:p>
    <w:p>
      <w:pPr>
        <w:pStyle w:val="Normal"/>
        <w:widowControl/>
        <w:numPr>
          <w:ilvl w:val="0"/>
          <w:numId w:val="1"/>
        </w:numPr>
        <w:spacing w:before="0" w:after="0"/>
        <w:ind w:left="142" w:hanging="284"/>
        <w:contextualSpacing/>
        <w:jc w:val="both"/>
        <w:rPr>
          <w:rFonts w:ascii="Calibri" w:hAnsi="Calibri" w:eastAsia="Times New Roman" w:cs="Calibri" w:asciiTheme="minorHAnsi" w:cstheme="minorHAnsi" w:hAnsiTheme="minorHAnsi"/>
          <w:color w:val="FF0000"/>
          <w:lang w:eastAsia="it-IT"/>
        </w:rPr>
      </w:pPr>
      <w:r>
        <w:rPr>
          <w:rFonts w:eastAsia="Times New Roman" w:cs="Calibri" w:ascii="Calibri" w:hAnsi="Calibri" w:asciiTheme="minorHAnsi" w:cstheme="minorHAnsi" w:hAnsiTheme="minorHAnsi"/>
          <w:lang w:eastAsia="it-IT"/>
        </w:rPr>
        <w:t>che con la Delibera di Giunta n. 320 del 03/07/12 la Regione Campania ha determinato i nuovi Ambiti Territoriali, completando il processo di riallineamento tra Ambiti e Distretti Sanitari avviato in precedenza, istituendo a far data dal 01/01/13 il nuovo Ambito N14 – Comune di Giugliano in Campania</w:t>
      </w:r>
      <w:r>
        <w:rPr>
          <w:rFonts w:eastAsia="Times New Roman" w:cs="Calibri" w:ascii="Calibri" w:hAnsi="Calibri" w:asciiTheme="minorHAnsi" w:cstheme="minorHAnsi" w:hAnsiTheme="minorHAnsi"/>
          <w:color w:val="FF0000"/>
          <w:lang w:eastAsia="it-IT"/>
        </w:rPr>
        <w:t>;</w:t>
      </w:r>
    </w:p>
    <w:p>
      <w:pPr>
        <w:pStyle w:val="Normal"/>
        <w:widowControl/>
        <w:numPr>
          <w:ilvl w:val="0"/>
          <w:numId w:val="1"/>
        </w:numPr>
        <w:spacing w:before="0" w:after="0"/>
        <w:ind w:left="142" w:hanging="284"/>
        <w:contextualSpacing/>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che con decisione a contrarre n_____del_______ è stata approvata la GARA  A PROCEDURA APERTA (ai sensi dell’art. 71 del D. Lgs. n.36/2023) PER </w:t>
      </w:r>
      <w:r>
        <w:rPr>
          <w:rFonts w:eastAsia="Times New Roman" w:cs="Calibri" w:ascii="Calibri" w:hAnsi="Calibri" w:asciiTheme="minorHAnsi" w:cstheme="minorHAnsi" w:hAnsiTheme="minorHAnsi"/>
          <w:b w:val="false"/>
          <w:bCs w:val="false"/>
          <w:spacing w:val="-2"/>
          <w:sz w:val="20"/>
          <w:szCs w:val="20"/>
          <w:lang w:eastAsia="it-IT"/>
        </w:rPr>
        <w:t xml:space="preserve">L’AFFIDAMENTO DEL SERVIZIO “CENTRO FAMIGLIA” CON UN OPERATORE ECONOMICO  DELLA DURATA DI DUE ANNI </w:t>
      </w:r>
    </w:p>
    <w:p>
      <w:pPr>
        <w:pStyle w:val="Normal"/>
        <w:widowControl/>
        <w:numPr>
          <w:ilvl w:val="0"/>
          <w:numId w:val="1"/>
        </w:numPr>
        <w:spacing w:before="0" w:after="0"/>
        <w:ind w:left="142" w:hanging="284"/>
        <w:contextualSpacing/>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che l’articolo 1, comma 450 della L. 296/2006 e ss.mm..ii, il quale dispone che le amministrazioni pubbliche di cui all'articolo 1 del decreto legislativo 30 marzo 2001, n. 165 sono tenute a servirsi del Mercato elettronico o dei sistemi telematici di negoziazione resi disponibili dalle centrali nazionali o regionali di riferimento, ove esistenti, per gli acquisti di valore pari o superiore a € 5.000,00, sino al sotto soglia;</w:t>
      </w:r>
    </w:p>
    <w:p>
      <w:pPr>
        <w:pStyle w:val="Normal"/>
        <w:widowControl/>
        <w:numPr>
          <w:ilvl w:val="0"/>
          <w:numId w:val="1"/>
        </w:numPr>
        <w:spacing w:before="0" w:after="0"/>
        <w:ind w:left="142" w:hanging="284"/>
        <w:contextualSpacing/>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che con medesima determina venivano approvati gli atti di gara quali il bando di gara/disciplinare e il capitolato speciale d’appalto nonché il modello di ISTANZA, il Patto di Integrità e Protocollo di Legalità, DGUE, il modello di offerta economica e gli altri eventuali documenti allegati alla determinazione quale parte integrante e sostanziale;</w:t>
      </w:r>
    </w:p>
    <w:p>
      <w:pPr>
        <w:pStyle w:val="Normal"/>
        <w:widowControl/>
        <w:numPr>
          <w:ilvl w:val="0"/>
          <w:numId w:val="1"/>
        </w:numPr>
        <w:spacing w:before="0" w:after="0"/>
        <w:ind w:left="0" w:hanging="0"/>
        <w:contextualSpacing/>
        <w:jc w:val="both"/>
        <w:rPr>
          <w:rFonts w:ascii="Calibri" w:hAnsi="Calibri" w:eastAsia="Times New Roman" w:cs="Calibri" w:asciiTheme="minorHAnsi" w:cstheme="minorHAnsi" w:hAnsiTheme="minorHAnsi"/>
          <w:bCs/>
          <w:lang w:eastAsia="it-IT"/>
        </w:rPr>
      </w:pPr>
      <w:r>
        <w:rPr>
          <w:rFonts w:eastAsia="Times New Roman" w:cs="Calibri" w:ascii="Calibri" w:hAnsi="Calibri" w:asciiTheme="minorHAnsi" w:cstheme="minorHAnsi" w:hAnsiTheme="minorHAnsi"/>
          <w:lang w:eastAsia="it-IT"/>
        </w:rPr>
        <w:t xml:space="preserve">che con determinazione dirigenziale n° ___del________ </w:t>
      </w:r>
      <w:r>
        <w:rPr>
          <w:rFonts w:eastAsia="Calibri" w:cs="Calibri" w:ascii="Calibri" w:hAnsi="Calibri" w:asciiTheme="minorHAnsi" w:cstheme="minorHAnsi" w:hAnsiTheme="minorHAnsi"/>
        </w:rPr>
        <w:t>si è dato atto dell’intervenuta efficacia dell’aggiudicazione</w:t>
      </w:r>
      <w:r>
        <w:rPr>
          <w:rFonts w:eastAsia="Times New Roman" w:cs="Calibri" w:ascii="Calibri" w:hAnsi="Calibri" w:asciiTheme="minorHAnsi" w:cstheme="minorHAnsi" w:hAnsiTheme="minorHAnsi"/>
          <w:lang w:eastAsia="it-IT"/>
        </w:rPr>
        <w:t xml:space="preserve"> del servizio in argomento alla Ditta </w:t>
      </w:r>
      <w:r>
        <w:rPr>
          <w:rFonts w:eastAsia="Times New Roman" w:cs="Calibri" w:ascii="Calibri" w:hAnsi="Calibri" w:asciiTheme="minorHAnsi" w:cstheme="minorHAnsi" w:hAnsiTheme="minorHAnsi"/>
          <w:bCs/>
          <w:lang w:eastAsia="it-IT"/>
        </w:rPr>
        <w:t>____________________________che ha ottenuto il maggior punteggio pari a punti ____________</w:t>
      </w:r>
      <w:r>
        <w:rPr>
          <w:rFonts w:eastAsia="Times New Roman" w:cs="Calibri" w:ascii="Calibri" w:hAnsi="Calibri" w:asciiTheme="minorHAnsi" w:cstheme="minorHAnsi" w:hAnsiTheme="minorHAnsi"/>
          <w:lang w:eastAsia="it-IT"/>
        </w:rPr>
        <w:t xml:space="preserve">; </w:t>
      </w:r>
    </w:p>
    <w:p>
      <w:pPr>
        <w:pStyle w:val="Normal"/>
        <w:widowControl/>
        <w:numPr>
          <w:ilvl w:val="0"/>
          <w:numId w:val="1"/>
        </w:numPr>
        <w:spacing w:before="0" w:after="0"/>
        <w:ind w:left="142" w:hanging="284"/>
        <w:contextualSpacing/>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che venivano effettuati tutti i controlli ai sensi della vigente normativa per l’O.E. affidatario agli atti dell’ufficio tramite sistema FVOE;</w:t>
      </w:r>
    </w:p>
    <w:p>
      <w:pPr>
        <w:pStyle w:val="Normal"/>
        <w:widowControl/>
        <w:ind w:left="142" w:hanging="284"/>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   acquisito il DURC “regolare” (documento unico regolarità contributiva) on line - protocollo ______________ – con scadenza validità _____________;</w:t>
      </w:r>
    </w:p>
    <w:p>
      <w:pPr>
        <w:pStyle w:val="Normal"/>
        <w:widowControl/>
        <w:tabs>
          <w:tab w:val="clear" w:pos="720"/>
          <w:tab w:val="left" w:pos="0" w:leader="none"/>
        </w:tabs>
        <w:ind w:left="142" w:hanging="284"/>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w:t>
        <w:tab/>
        <w:t xml:space="preserve">  che nel presente contratto sono integralmente richiamate le norme previste dalla Legge n. 190/2012 “Disposizioni per la prevenzione e la repressione della corruzione e dell'illegalità nella Pubblica Amministrazione” e dal Codice di comportamento dei dipendenti pubblici approvato con D.P.R. n. 62/2013;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Al riguardo, l'aggiudicatario dichiara di non essere incorso, negli ultimi tre anni, nella violazione dell'art. 53 comma 16 – ter del D. Lgs. n. 165/2001, così come interpretato dall'art. 21 del D. Lgs. n. 39/2013 e si obbliga altresì, al rispetto del codice di comportamento dei dipendenti pubblici approvato con D.P.R. n. 62/2013;</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L'aggiudicatario dichiara inoltre:</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a) di essere edotto degli obblighi derivanti dal codice di comportamento integrativo dei dipendenti del Comune di Giugliano in Campania (Ce), e si impegna, in caso di aggiudicazione, ad osservare e a fare osservare ai propri dipendenti e collaboratori il suddetto codice, pena la risoluzione del contratto;</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b) La violazione degli obblighi di comportamento comporterà per l'Amministrazione la facoltà di risolvere il contratto, qualora in ragione della gravità o della reiterazione, la stessa sia ritenuta grave;</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Tanto premesso, le parti, come sopra costituite di comune accordo, convengono e stipulano quanto segue.</w:t>
      </w:r>
    </w:p>
    <w:p>
      <w:pPr>
        <w:pStyle w:val="Titolo1"/>
        <w:ind w:left="25" w:right="-236" w:hanging="0"/>
        <w:jc w:val="center"/>
        <w:rPr>
          <w:rFonts w:ascii="Calibri" w:hAnsi="Calibri" w:cs="Calibri" w:asciiTheme="minorHAnsi" w:cstheme="minorHAnsi" w:hAnsiTheme="minorHAnsi"/>
          <w:color w:val="FF0000"/>
          <w:sz w:val="22"/>
          <w:szCs w:val="22"/>
        </w:rPr>
      </w:pPr>
      <w:r>
        <w:rPr>
          <w:rFonts w:cs="Calibri" w:cstheme="minorHAnsi" w:ascii="Calibri" w:hAnsi="Calibri"/>
          <w:color w:val="FF0000"/>
          <w:sz w:val="22"/>
          <w:szCs w:val="22"/>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ART.1 - PREMESSA</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La premessa narrativa forma parte integrante del presente atto.</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 2 – OGGETTO</w:t>
      </w:r>
    </w:p>
    <w:p>
      <w:pPr>
        <w:pStyle w:val="Normal"/>
        <w:widowControl/>
        <w:jc w:val="both"/>
        <w:rPr>
          <w:rFonts w:ascii="Calibri" w:hAnsi="Calibri" w:eastAsia="Times New Roman" w:cs="Calibri" w:asciiTheme="minorHAnsi" w:cstheme="minorHAnsi" w:hAnsiTheme="minorHAnsi"/>
          <w:color w:val="FF0000"/>
          <w:lang w:eastAsia="it-IT"/>
        </w:rPr>
      </w:pPr>
      <w:r>
        <w:rPr>
          <w:rFonts w:eastAsia="Times New Roman" w:cs="Calibri" w:ascii="Calibri" w:hAnsi="Calibri" w:asciiTheme="minorHAnsi" w:cstheme="minorHAnsi" w:hAnsiTheme="minorHAnsi"/>
          <w:lang w:eastAsia="it-IT"/>
        </w:rPr>
        <w:t xml:space="preserve">Il Comune, in qualità di ente capofila dell’Ambito N14, stipula con l’operatore economico </w:t>
      </w:r>
      <w:r>
        <w:rPr>
          <w:rFonts w:eastAsia="Times New Roman" w:cs="Calibri" w:ascii="Calibri" w:hAnsi="Calibri" w:asciiTheme="minorHAnsi" w:cstheme="minorHAnsi" w:hAnsiTheme="minorHAnsi"/>
          <w:bCs/>
          <w:lang w:eastAsia="it-IT"/>
        </w:rPr>
        <w:t>_______________________________,</w:t>
      </w:r>
      <w:r>
        <w:rPr>
          <w:rFonts w:eastAsia="Times New Roman" w:cs="Calibri" w:ascii="Calibri" w:hAnsi="Calibri" w:asciiTheme="minorHAnsi" w:cstheme="minorHAnsi" w:hAnsiTheme="minorHAnsi"/>
          <w:lang w:eastAsia="it-IT"/>
        </w:rPr>
        <w:t xml:space="preserve"> legalmente rappresentata dal Sig. ______________________________ in qualità di ________________________, un  contratto avente ad oggetto la gestione del Servizio di “</w:t>
      </w:r>
      <w:r>
        <w:rPr>
          <w:rFonts w:eastAsia="Times New Roman" w:cs="Calibri" w:ascii="Calibri" w:hAnsi="Calibri" w:asciiTheme="minorHAnsi" w:cstheme="minorHAnsi" w:hAnsiTheme="minorHAnsi"/>
          <w:lang w:val="it-IT" w:eastAsia="it-IT"/>
        </w:rPr>
        <w:t>CENTRO PER LE FAMIGLIE</w:t>
      </w:r>
      <w:r>
        <w:rPr>
          <w:rFonts w:eastAsia="Times New Roman" w:cs="Calibri" w:ascii="Calibri" w:hAnsi="Calibri" w:asciiTheme="minorHAnsi" w:cstheme="minorHAnsi" w:hAnsiTheme="minorHAnsi"/>
          <w:lang w:eastAsia="it-IT"/>
        </w:rPr>
        <w:t>” per i residenti e beneficiari dei servizi e attività dell’ambito N14.</w:t>
      </w:r>
    </w:p>
    <w:p>
      <w:pPr>
        <w:pStyle w:val="Normal"/>
        <w:spacing w:before="1" w:after="0"/>
        <w:ind w:right="-169" w:hanging="0"/>
        <w:jc w:val="both"/>
        <w:rPr>
          <w:rFonts w:ascii="Calibri" w:hAnsi="Calibri" w:eastAsia="Times New Roman" w:cs="Calibri" w:asciiTheme="minorHAnsi" w:cstheme="minorHAnsi" w:hAnsiTheme="minorHAnsi"/>
        </w:rPr>
      </w:pPr>
      <w:r>
        <w:rPr>
          <w:rFonts w:eastAsia="Times New Roman" w:cs="Calibri" w:ascii="Calibri" w:hAnsi="Calibri" w:asciiTheme="minorHAnsi" w:cstheme="minorHAnsi" w:hAnsiTheme="minorHAnsi"/>
        </w:rPr>
        <w:t>Il “</w:t>
      </w:r>
      <w:r>
        <w:rPr>
          <w:rFonts w:eastAsia="Times New Roman" w:cs="Calibri" w:ascii="Calibri" w:hAnsi="Calibri" w:asciiTheme="minorHAnsi" w:cstheme="minorHAnsi" w:hAnsiTheme="minorHAnsi"/>
          <w:lang w:val="it-IT"/>
        </w:rPr>
        <w:t>Centro per le Famiglie</w:t>
      </w:r>
      <w:r>
        <w:rPr>
          <w:rFonts w:eastAsia="Times New Roman" w:cs="Calibri" w:ascii="Calibri" w:hAnsi="Calibri" w:asciiTheme="minorHAnsi" w:cstheme="minorHAnsi" w:hAnsiTheme="minorHAnsi"/>
        </w:rPr>
        <w:t>” è destinato al supporto de</w:t>
      </w:r>
      <w:r>
        <w:rPr>
          <w:rFonts w:eastAsia="Times New Roman" w:cs="Calibri" w:ascii="Calibri" w:hAnsi="Calibri" w:asciiTheme="minorHAnsi" w:cstheme="minorHAnsi" w:hAnsiTheme="minorHAnsi"/>
          <w:lang w:val="it-IT"/>
        </w:rPr>
        <w:t xml:space="preserve">lle famiglie </w:t>
      </w:r>
      <w:r>
        <w:rPr>
          <w:rFonts w:eastAsia="Times New Roman" w:cs="Calibri" w:ascii="Calibri" w:hAnsi="Calibri" w:asciiTheme="minorHAnsi" w:cstheme="minorHAnsi" w:hAnsiTheme="minorHAnsi"/>
        </w:rPr>
        <w:t>residenti nel Comune di Giugliano in Campania. In particolare Il servizio svolge generalmente la funzione di attivatore di p</w:t>
      </w:r>
      <w:r>
        <w:rPr>
          <w:rFonts w:eastAsia="Times New Roman" w:cs="Times New Roman" w:ascii="Times New Roman" w:hAnsi="Times New Roman"/>
          <w:sz w:val="22"/>
          <w:szCs w:val="22"/>
        </w:rPr>
        <w:t xml:space="preserve">ercorsi di accompagnamento familiare per  </w:t>
      </w:r>
      <w:r>
        <w:rPr>
          <w:rFonts w:eastAsia="Times New Roman" w:cs="Times New Roman" w:ascii="Times New Roman" w:hAnsi="Times New Roman"/>
          <w:sz w:val="22"/>
          <w:szCs w:val="22"/>
          <w:lang w:val="it-IT"/>
        </w:rPr>
        <w:t>intervenire</w:t>
      </w:r>
      <w:r>
        <w:rPr>
          <w:rFonts w:eastAsia="Times New Roman" w:cs="Times New Roman" w:ascii="Times New Roman" w:hAnsi="Times New Roman"/>
          <w:sz w:val="22"/>
          <w:szCs w:val="22"/>
        </w:rPr>
        <w:t xml:space="preserve"> in maniera prioritaria a </w:t>
      </w:r>
      <w:r>
        <w:rPr>
          <w:rFonts w:eastAsia="Times New Roman" w:cs="Times New Roman" w:ascii="Times New Roman" w:hAnsi="Times New Roman"/>
          <w:sz w:val="22"/>
          <w:szCs w:val="22"/>
          <w:lang w:val="it-IT"/>
        </w:rPr>
        <w:t>sostegno</w:t>
      </w:r>
      <w:r>
        <w:rPr>
          <w:rFonts w:eastAsia="Times New Roman" w:cs="Times New Roman" w:ascii="Times New Roman" w:hAnsi="Times New Roman"/>
          <w:sz w:val="22"/>
          <w:szCs w:val="22"/>
        </w:rPr>
        <w:t xml:space="preserve"> della</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genitorialità</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e</w:t>
      </w:r>
      <w:r>
        <w:rPr>
          <w:rFonts w:eastAsia="Times New Roman" w:cs="Times New Roman" w:ascii="Times New Roman" w:hAnsi="Times New Roman"/>
          <w:spacing w:val="1"/>
          <w:sz w:val="22"/>
          <w:szCs w:val="22"/>
        </w:rPr>
        <w:t xml:space="preserve"> del</w:t>
      </w:r>
      <w:r>
        <w:rPr>
          <w:rFonts w:eastAsia="Times New Roman" w:cs="Times New Roman" w:ascii="Times New Roman" w:hAnsi="Times New Roman"/>
          <w:sz w:val="22"/>
          <w:szCs w:val="22"/>
        </w:rPr>
        <w:t>le</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relazioni</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tra</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bambini</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e</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genitori,</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ma</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possono</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essere</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attivati</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anche</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per</w:t>
      </w:r>
      <w:r>
        <w:rPr>
          <w:rFonts w:eastAsia="Times New Roman" w:cs="Times New Roman" w:ascii="Times New Roman" w:hAnsi="Times New Roman"/>
          <w:spacing w:val="-68"/>
          <w:sz w:val="22"/>
          <w:szCs w:val="22"/>
        </w:rPr>
        <w:t xml:space="preserve"> </w:t>
      </w:r>
      <w:r>
        <w:rPr>
          <w:rFonts w:eastAsia="Times New Roman" w:cs="Times New Roman" w:ascii="Times New Roman" w:hAnsi="Times New Roman"/>
          <w:sz w:val="22"/>
          <w:szCs w:val="22"/>
        </w:rPr>
        <w:t>sostenere in maniera più generale il sistema delle relazioni familiari, promuovendo percorsi di</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consapevolezza, sostegno e accompagnamento per il fronteggiamento di particolari elementi di</w:t>
      </w:r>
      <w:r>
        <w:rPr>
          <w:rFonts w:eastAsia="Times New Roman" w:cs="Times New Roman" w:ascii="Times New Roman" w:hAnsi="Times New Roman"/>
          <w:spacing w:val="-68"/>
          <w:sz w:val="22"/>
          <w:szCs w:val="22"/>
        </w:rPr>
        <w:t xml:space="preserve"> </w:t>
      </w:r>
      <w:r>
        <w:rPr>
          <w:rFonts w:eastAsia="Times New Roman" w:cs="Times New Roman" w:ascii="Times New Roman" w:hAnsi="Times New Roman"/>
          <w:sz w:val="22"/>
          <w:szCs w:val="22"/>
        </w:rPr>
        <w:t>criticità o squilibrio del sistema familiare e nei rapporti tra i diversi componenti, sempre con</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l’obiettivo</w:t>
      </w:r>
      <w:r>
        <w:rPr>
          <w:rFonts w:eastAsia="Times New Roman" w:cs="Times New Roman" w:ascii="Times New Roman" w:hAnsi="Times New Roman"/>
          <w:spacing w:val="-5"/>
          <w:sz w:val="22"/>
          <w:szCs w:val="22"/>
        </w:rPr>
        <w:t xml:space="preserve"> </w:t>
      </w:r>
      <w:r>
        <w:rPr>
          <w:rFonts w:eastAsia="Times New Roman" w:cs="Times New Roman" w:ascii="Times New Roman" w:hAnsi="Times New Roman"/>
          <w:sz w:val="22"/>
          <w:szCs w:val="22"/>
        </w:rPr>
        <w:t>di tutelare</w:t>
      </w:r>
      <w:r>
        <w:rPr>
          <w:rFonts w:eastAsia="Times New Roman" w:cs="Times New Roman" w:ascii="Times New Roman" w:hAnsi="Times New Roman"/>
          <w:spacing w:val="-3"/>
          <w:sz w:val="22"/>
          <w:szCs w:val="22"/>
        </w:rPr>
        <w:t xml:space="preserve"> </w:t>
      </w:r>
      <w:r>
        <w:rPr>
          <w:rFonts w:eastAsia="Times New Roman" w:cs="Times New Roman" w:ascii="Times New Roman" w:hAnsi="Times New Roman"/>
          <w:sz w:val="22"/>
          <w:szCs w:val="22"/>
        </w:rPr>
        <w:t>e</w:t>
      </w:r>
      <w:r>
        <w:rPr>
          <w:rFonts w:eastAsia="Times New Roman" w:cs="Times New Roman" w:ascii="Times New Roman" w:hAnsi="Times New Roman"/>
          <w:spacing w:val="-3"/>
          <w:sz w:val="22"/>
          <w:szCs w:val="22"/>
        </w:rPr>
        <w:t xml:space="preserve"> </w:t>
      </w:r>
      <w:r>
        <w:rPr>
          <w:rFonts w:eastAsia="Times New Roman" w:cs="Times New Roman" w:ascii="Times New Roman" w:hAnsi="Times New Roman"/>
          <w:sz w:val="22"/>
          <w:szCs w:val="22"/>
        </w:rPr>
        <w:t>promuovere</w:t>
      </w:r>
      <w:r>
        <w:rPr>
          <w:rFonts w:eastAsia="Times New Roman" w:cs="Times New Roman" w:ascii="Times New Roman" w:hAnsi="Times New Roman"/>
          <w:spacing w:val="-2"/>
          <w:sz w:val="22"/>
          <w:szCs w:val="22"/>
        </w:rPr>
        <w:t xml:space="preserve"> </w:t>
      </w:r>
      <w:r>
        <w:rPr>
          <w:rFonts w:eastAsia="Times New Roman" w:cs="Times New Roman" w:ascii="Times New Roman" w:hAnsi="Times New Roman"/>
          <w:sz w:val="22"/>
          <w:szCs w:val="22"/>
        </w:rPr>
        <w:t>il benessere</w:t>
      </w:r>
      <w:r>
        <w:rPr>
          <w:rFonts w:eastAsia="Times New Roman" w:cs="Times New Roman" w:ascii="Times New Roman" w:hAnsi="Times New Roman"/>
          <w:spacing w:val="-5"/>
          <w:sz w:val="22"/>
          <w:szCs w:val="22"/>
        </w:rPr>
        <w:t xml:space="preserve"> </w:t>
      </w:r>
      <w:r>
        <w:rPr>
          <w:rFonts w:eastAsia="Times New Roman" w:cs="Times New Roman" w:ascii="Times New Roman" w:hAnsi="Times New Roman"/>
          <w:sz w:val="22"/>
          <w:szCs w:val="22"/>
        </w:rPr>
        <w:t>dei</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bambini</w:t>
      </w:r>
      <w:r>
        <w:rPr>
          <w:rFonts w:eastAsia="Times New Roman" w:cs="Times New Roman" w:ascii="Times New Roman" w:hAnsi="Times New Roman"/>
          <w:spacing w:val="-4"/>
          <w:sz w:val="22"/>
          <w:szCs w:val="22"/>
        </w:rPr>
        <w:t xml:space="preserve"> </w:t>
      </w:r>
      <w:r>
        <w:rPr>
          <w:rFonts w:eastAsia="Times New Roman" w:cs="Times New Roman" w:ascii="Times New Roman" w:hAnsi="Times New Roman"/>
          <w:sz w:val="22"/>
          <w:szCs w:val="22"/>
        </w:rPr>
        <w:t>inseriti nel</w:t>
      </w:r>
      <w:r>
        <w:rPr>
          <w:rFonts w:eastAsia="Times New Roman" w:cs="Times New Roman" w:ascii="Times New Roman" w:hAnsi="Times New Roman"/>
          <w:spacing w:val="-1"/>
          <w:sz w:val="22"/>
          <w:szCs w:val="22"/>
        </w:rPr>
        <w:t xml:space="preserve"> </w:t>
      </w:r>
      <w:r>
        <w:rPr>
          <w:rFonts w:eastAsia="Times New Roman" w:cs="Times New Roman" w:ascii="Times New Roman" w:hAnsi="Times New Roman"/>
          <w:sz w:val="22"/>
          <w:szCs w:val="22"/>
        </w:rPr>
        <w:t>nucleo</w:t>
      </w:r>
      <w:r>
        <w:rPr>
          <w:rFonts w:eastAsia="Times New Roman" w:cs="Times New Roman" w:ascii="Times New Roman" w:hAnsi="Times New Roman"/>
          <w:spacing w:val="-5"/>
          <w:sz w:val="22"/>
          <w:szCs w:val="22"/>
        </w:rPr>
        <w:t xml:space="preserve"> </w:t>
      </w:r>
      <w:r>
        <w:rPr>
          <w:rFonts w:eastAsia="Times New Roman" w:cs="Times New Roman" w:ascii="Times New Roman" w:hAnsi="Times New Roman"/>
          <w:sz w:val="22"/>
          <w:szCs w:val="22"/>
        </w:rPr>
        <w:t>familiare</w:t>
      </w:r>
      <w:r>
        <w:rPr>
          <w:rFonts w:eastAsia="Times New Roman" w:cs="Times New Roman" w:ascii="Times New Roman" w:hAnsi="Times New Roman"/>
          <w:spacing w:val="-5"/>
          <w:sz w:val="22"/>
          <w:szCs w:val="22"/>
        </w:rPr>
        <w:t xml:space="preserve"> </w:t>
      </w:r>
      <w:r>
        <w:rPr>
          <w:rFonts w:eastAsia="Times New Roman" w:cs="Times New Roman" w:ascii="Times New Roman" w:hAnsi="Times New Roman"/>
          <w:sz w:val="22"/>
          <w:szCs w:val="22"/>
        </w:rPr>
        <w:t>stesso.</w:t>
      </w:r>
    </w:p>
    <w:p>
      <w:pPr>
        <w:pStyle w:val="Normal"/>
        <w:spacing w:before="1" w:after="0"/>
        <w:ind w:right="-169" w:hanging="0"/>
        <w:jc w:val="both"/>
        <w:rPr>
          <w:rFonts w:ascii="Calibri" w:hAnsi="Calibri" w:eastAsia="Times New Roman" w:cs="Calibri" w:asciiTheme="minorHAnsi" w:cstheme="minorHAnsi" w:hAnsiTheme="minorHAnsi"/>
        </w:rPr>
      </w:pPr>
      <w:r>
        <w:rPr>
          <w:rFonts w:eastAsia="Times New Roman" w:cs="Calibri" w:cstheme="minorHAnsi" w:ascii="Calibri" w:hAnsi="Calibri"/>
        </w:rPr>
      </w:r>
    </w:p>
    <w:p>
      <w:pPr>
        <w:pStyle w:val="Normal"/>
        <w:spacing w:before="1" w:after="0"/>
        <w:ind w:right="-169" w:hanging="0"/>
        <w:jc w:val="both"/>
        <w:rPr>
          <w:rFonts w:ascii="Calibri" w:hAnsi="Calibri" w:eastAsia="Times New Roman" w:cs="Calibri" w:asciiTheme="minorHAnsi" w:cstheme="minorHAnsi" w:hAnsiTheme="minorHAnsi"/>
        </w:rPr>
      </w:pPr>
      <w:r>
        <w:rPr>
          <w:rFonts w:eastAsia="Times New Roman" w:cs="Calibri" w:ascii="Calibri" w:hAnsi="Calibri" w:asciiTheme="minorHAnsi" w:cstheme="minorHAnsi" w:hAnsiTheme="minorHAnsi"/>
          <w:lang w:val="it-IT"/>
        </w:rPr>
        <w:t>Il Centro per le Famiglie attiva i seguenti dispositivi</w:t>
      </w:r>
      <w:r>
        <w:rPr>
          <w:rFonts w:eastAsia="Times New Roman" w:cs="Calibri" w:ascii="Calibri" w:hAnsi="Calibri" w:asciiTheme="minorHAnsi" w:cstheme="minorHAnsi" w:hAnsiTheme="minorHAnsi"/>
        </w:rPr>
        <w:t xml:space="preserve">: </w:t>
      </w:r>
    </w:p>
    <w:p>
      <w:pPr>
        <w:pStyle w:val="Normal"/>
        <w:spacing w:before="1" w:after="0"/>
        <w:ind w:right="-169" w:hanging="0"/>
        <w:jc w:val="both"/>
        <w:rPr>
          <w:rFonts w:ascii="Calibri" w:hAnsi="Calibri" w:eastAsia="Times New Roman" w:cs="Calibri" w:asciiTheme="minorHAnsi" w:cstheme="minorHAnsi" w:hAnsiTheme="minorHAnsi"/>
        </w:rPr>
      </w:pPr>
      <w:r>
        <w:rPr>
          <w:rFonts w:eastAsia="Times New Roman" w:cs="Times New Roman" w:ascii="Times New Roman" w:hAnsi="Times New Roman"/>
          <w:i/>
          <w:sz w:val="22"/>
          <w:szCs w:val="22"/>
        </w:rPr>
        <w:t>a)Percorsi di accompagnamento alla genitorialità sostenuti dall’equipe multidisciplinare nella</w:t>
      </w:r>
      <w:r>
        <w:rPr>
          <w:rFonts w:eastAsia="Times New Roman" w:cs="Times New Roman" w:ascii="Times New Roman" w:hAnsi="Times New Roman"/>
          <w:i/>
          <w:spacing w:val="1"/>
          <w:sz w:val="22"/>
          <w:szCs w:val="22"/>
        </w:rPr>
        <w:t xml:space="preserve"> </w:t>
      </w:r>
      <w:r>
        <w:rPr>
          <w:rFonts w:eastAsia="Times New Roman" w:cs="Times New Roman" w:ascii="Times New Roman" w:hAnsi="Times New Roman"/>
          <w:i/>
          <w:sz w:val="22"/>
          <w:szCs w:val="22"/>
        </w:rPr>
        <w:t>sede</w:t>
      </w:r>
      <w:r>
        <w:rPr>
          <w:rFonts w:eastAsia="Times New Roman" w:cs="Times New Roman" w:ascii="Times New Roman" w:hAnsi="Times New Roman"/>
          <w:i/>
          <w:spacing w:val="-3"/>
          <w:sz w:val="22"/>
          <w:szCs w:val="22"/>
        </w:rPr>
        <w:t xml:space="preserve"> </w:t>
      </w:r>
      <w:r>
        <w:rPr>
          <w:rFonts w:eastAsia="Times New Roman" w:cs="Times New Roman" w:ascii="Times New Roman" w:hAnsi="Times New Roman"/>
          <w:i/>
          <w:sz w:val="22"/>
          <w:szCs w:val="22"/>
        </w:rPr>
        <w:t>del Centro</w:t>
      </w:r>
      <w:r>
        <w:rPr>
          <w:rFonts w:eastAsia="Times New Roman" w:cs="Calibri" w:ascii="Calibri" w:hAnsi="Calibri" w:asciiTheme="minorHAnsi" w:cstheme="minorHAnsi" w:hAnsiTheme="minorHAnsi"/>
        </w:rPr>
        <w:tab/>
      </w:r>
    </w:p>
    <w:p>
      <w:pPr>
        <w:pStyle w:val="ListParagraph"/>
        <w:numPr>
          <w:ilvl w:val="0"/>
          <w:numId w:val="0"/>
        </w:numPr>
        <w:tabs>
          <w:tab w:val="clear" w:pos="720"/>
          <w:tab w:val="left" w:pos="621" w:leader="none"/>
        </w:tabs>
        <w:spacing w:before="99" w:after="0"/>
        <w:ind w:left="0" w:right="0" w:hanging="0"/>
        <w:jc w:val="both"/>
        <w:rPr>
          <w:rFonts w:ascii="Calibri" w:hAnsi="Calibri" w:eastAsia="Times New Roman" w:cs="Calibri" w:asciiTheme="minorHAnsi" w:cstheme="minorHAnsi" w:hAnsiTheme="minorHAnsi"/>
        </w:rPr>
      </w:pPr>
      <w:r>
        <w:rPr>
          <w:rFonts w:eastAsia="Times New Roman" w:cs="Times New Roman" w:ascii="Times New Roman" w:hAnsi="Times New Roman"/>
          <w:i/>
          <w:sz w:val="22"/>
          <w:szCs w:val="22"/>
        </w:rPr>
        <w:t>b) La</w:t>
      </w:r>
      <w:r>
        <w:rPr>
          <w:rFonts w:eastAsia="Times New Roman" w:cs="Times New Roman" w:ascii="Times New Roman" w:hAnsi="Times New Roman"/>
          <w:i/>
          <w:spacing w:val="-3"/>
          <w:sz w:val="22"/>
          <w:szCs w:val="22"/>
        </w:rPr>
        <w:t xml:space="preserve"> </w:t>
      </w:r>
      <w:r>
        <w:rPr>
          <w:rFonts w:eastAsia="Times New Roman" w:cs="Times New Roman" w:ascii="Times New Roman" w:hAnsi="Times New Roman"/>
          <w:i/>
          <w:sz w:val="22"/>
          <w:szCs w:val="22"/>
        </w:rPr>
        <w:t>partecipazione</w:t>
      </w:r>
      <w:r>
        <w:rPr>
          <w:rFonts w:eastAsia="Times New Roman" w:cs="Times New Roman" w:ascii="Times New Roman" w:hAnsi="Times New Roman"/>
          <w:i/>
          <w:spacing w:val="-4"/>
          <w:sz w:val="22"/>
          <w:szCs w:val="22"/>
        </w:rPr>
        <w:t xml:space="preserve"> </w:t>
      </w:r>
      <w:r>
        <w:rPr>
          <w:rFonts w:eastAsia="Times New Roman" w:cs="Times New Roman" w:ascii="Times New Roman" w:hAnsi="Times New Roman"/>
          <w:i/>
          <w:sz w:val="22"/>
          <w:szCs w:val="22"/>
        </w:rPr>
        <w:t>ai Gruppi</w:t>
      </w:r>
    </w:p>
    <w:p>
      <w:pPr>
        <w:pStyle w:val="ListParagraph"/>
        <w:numPr>
          <w:ilvl w:val="0"/>
          <w:numId w:val="0"/>
        </w:numPr>
        <w:tabs>
          <w:tab w:val="clear" w:pos="720"/>
          <w:tab w:val="left" w:pos="477" w:leader="none"/>
        </w:tabs>
        <w:spacing w:lineRule="exact" w:line="243" w:before="196" w:after="0"/>
        <w:ind w:left="0" w:right="0" w:hanging="0"/>
        <w:jc w:val="both"/>
        <w:rPr>
          <w:rFonts w:ascii="Calibri" w:hAnsi="Calibri" w:eastAsia="Times New Roman" w:cs="Calibri" w:asciiTheme="minorHAnsi" w:cstheme="minorHAnsi" w:hAnsiTheme="minorHAnsi"/>
        </w:rPr>
      </w:pPr>
      <w:r>
        <w:rPr>
          <w:rFonts w:eastAsia="Times New Roman" w:cs="Times New Roman" w:ascii="Times New Roman" w:hAnsi="Times New Roman"/>
          <w:i/>
          <w:sz w:val="22"/>
          <w:szCs w:val="22"/>
        </w:rPr>
        <w:t>c) La</w:t>
      </w:r>
      <w:r>
        <w:rPr>
          <w:rFonts w:eastAsia="Times New Roman" w:cs="Times New Roman" w:ascii="Times New Roman" w:hAnsi="Times New Roman"/>
          <w:i/>
          <w:spacing w:val="-4"/>
          <w:sz w:val="22"/>
          <w:szCs w:val="22"/>
        </w:rPr>
        <w:t xml:space="preserve"> </w:t>
      </w:r>
      <w:r>
        <w:rPr>
          <w:rFonts w:eastAsia="Times New Roman" w:cs="Times New Roman" w:ascii="Times New Roman" w:hAnsi="Times New Roman"/>
          <w:i/>
          <w:sz w:val="22"/>
          <w:szCs w:val="22"/>
        </w:rPr>
        <w:t>Mediazione</w:t>
      </w:r>
      <w:r>
        <w:rPr>
          <w:rFonts w:eastAsia="Times New Roman" w:cs="Times New Roman" w:ascii="Times New Roman" w:hAnsi="Times New Roman"/>
          <w:i/>
          <w:spacing w:val="-2"/>
          <w:sz w:val="22"/>
          <w:szCs w:val="22"/>
        </w:rPr>
        <w:t xml:space="preserve"> </w:t>
      </w:r>
      <w:r>
        <w:rPr>
          <w:rFonts w:eastAsia="Times New Roman" w:cs="Times New Roman" w:ascii="Times New Roman" w:hAnsi="Times New Roman"/>
          <w:i/>
          <w:sz w:val="22"/>
          <w:szCs w:val="22"/>
        </w:rPr>
        <w:t>familiare</w:t>
      </w:r>
    </w:p>
    <w:p>
      <w:pPr>
        <w:pStyle w:val="ListParagraph"/>
        <w:numPr>
          <w:ilvl w:val="0"/>
          <w:numId w:val="0"/>
        </w:numPr>
        <w:tabs>
          <w:tab w:val="clear" w:pos="720"/>
          <w:tab w:val="left" w:pos="902" w:leader="none"/>
        </w:tabs>
        <w:spacing w:lineRule="exact" w:line="243" w:before="195" w:after="0"/>
        <w:ind w:left="0" w:right="0" w:hanging="0"/>
        <w:jc w:val="both"/>
        <w:rPr>
          <w:rFonts w:ascii="Calibri" w:hAnsi="Calibri" w:eastAsia="Times New Roman" w:cs="Calibri" w:asciiTheme="minorHAnsi" w:cstheme="minorHAnsi" w:hAnsiTheme="minorHAnsi"/>
        </w:rPr>
      </w:pPr>
      <w:r>
        <w:rPr>
          <w:rFonts w:eastAsia="Times New Roman" w:cs="Times New Roman" w:ascii="Times New Roman" w:hAnsi="Times New Roman"/>
          <w:i/>
          <w:sz w:val="22"/>
          <w:szCs w:val="22"/>
        </w:rPr>
        <w:t>d) Spazio</w:t>
      </w:r>
      <w:r>
        <w:rPr>
          <w:rFonts w:eastAsia="Times New Roman" w:cs="Times New Roman" w:ascii="Times New Roman" w:hAnsi="Times New Roman"/>
          <w:i/>
          <w:spacing w:val="-5"/>
          <w:sz w:val="22"/>
          <w:szCs w:val="22"/>
        </w:rPr>
        <w:t xml:space="preserve"> </w:t>
      </w:r>
      <w:r>
        <w:rPr>
          <w:rFonts w:eastAsia="Times New Roman" w:cs="Times New Roman" w:ascii="Times New Roman" w:hAnsi="Times New Roman"/>
          <w:i/>
          <w:sz w:val="22"/>
          <w:szCs w:val="22"/>
        </w:rPr>
        <w:t>Neutro</w:t>
      </w:r>
    </w:p>
    <w:p>
      <w:pPr>
        <w:pStyle w:val="ListParagraph"/>
        <w:numPr>
          <w:ilvl w:val="0"/>
          <w:numId w:val="0"/>
        </w:numPr>
        <w:tabs>
          <w:tab w:val="clear" w:pos="720"/>
          <w:tab w:val="left" w:pos="902" w:leader="none"/>
        </w:tabs>
        <w:spacing w:lineRule="exact" w:line="243" w:before="195" w:after="0"/>
        <w:ind w:left="0" w:right="0" w:hanging="0"/>
        <w:jc w:val="both"/>
        <w:rPr>
          <w:rFonts w:ascii="Calibri" w:hAnsi="Calibri" w:eastAsia="Times New Roman" w:cs="Calibri" w:asciiTheme="minorHAnsi" w:cstheme="minorHAnsi" w:hAnsiTheme="minorHAnsi"/>
        </w:rPr>
      </w:pPr>
      <w:r>
        <w:rPr>
          <w:rFonts w:eastAsia="Times New Roman" w:cs="Calibri" w:cstheme="minorHAnsi" w:ascii="Calibri" w:hAnsi="Calibri"/>
        </w:rPr>
      </w:r>
    </w:p>
    <w:p>
      <w:pPr>
        <w:pStyle w:val="Normal"/>
        <w:spacing w:before="1" w:after="0"/>
        <w:ind w:right="-169" w:hanging="0"/>
        <w:jc w:val="both"/>
        <w:rPr>
          <w:rFonts w:ascii="Calibri" w:hAnsi="Calibri" w:eastAsia="Times New Roman" w:cs="Calibri" w:asciiTheme="minorHAnsi" w:cstheme="minorHAnsi" w:hAnsiTheme="minorHAnsi"/>
        </w:rPr>
      </w:pPr>
      <w:r>
        <w:rPr>
          <w:rFonts w:eastAsia="Times New Roman" w:cs="Calibri" w:ascii="Calibri" w:hAnsi="Calibri" w:asciiTheme="minorHAnsi" w:cstheme="minorHAnsi" w:hAnsiTheme="minorHAnsi"/>
        </w:rPr>
        <w:t xml:space="preserve">L’aggiudicatario dovrà garantire, nell’articolazione giornaliera, il costante mantenimento del numero di operatori in servizio previsti dagli atti di gara/procedura. </w:t>
      </w:r>
    </w:p>
    <w:p>
      <w:pPr>
        <w:pStyle w:val="Normal"/>
        <w:spacing w:before="1" w:after="0"/>
        <w:ind w:right="-169" w:hanging="0"/>
        <w:jc w:val="both"/>
        <w:rPr>
          <w:rFonts w:ascii="Calibri" w:hAnsi="Calibri" w:eastAsia="Times New Roman" w:cs="Calibri" w:asciiTheme="minorHAnsi" w:cstheme="minorHAnsi" w:hAnsiTheme="minorHAnsi"/>
        </w:rPr>
      </w:pPr>
      <w:r>
        <w:rPr>
          <w:rFonts w:eastAsia="Times New Roman" w:cs="Calibri" w:ascii="Calibri" w:hAnsi="Calibri" w:asciiTheme="minorHAnsi" w:cstheme="minorHAnsi" w:hAnsiTheme="minorHAnsi"/>
        </w:rPr>
        <w:t xml:space="preserve">I locali, le attrezzature e gli arredi necessari sono consegnati all’appaltatore per tutta la durata dell’appalto, nello stato in cui si trovano, esclusivamente per la gestione dell’attività. </w:t>
      </w:r>
    </w:p>
    <w:p>
      <w:pPr>
        <w:pStyle w:val="Normal"/>
        <w:spacing w:before="1" w:after="0"/>
        <w:ind w:right="-169" w:hanging="0"/>
        <w:jc w:val="both"/>
        <w:rPr>
          <w:rFonts w:ascii="Calibri" w:hAnsi="Calibri" w:eastAsia="Times New Roman" w:cs="Calibri" w:asciiTheme="minorHAnsi" w:cstheme="minorHAnsi" w:hAnsiTheme="minorHAnsi"/>
        </w:rPr>
      </w:pPr>
      <w:r>
        <w:rPr>
          <w:rFonts w:eastAsia="Times New Roman" w:cs="Calibri" w:ascii="Calibri" w:hAnsi="Calibri" w:asciiTheme="minorHAnsi" w:cstheme="minorHAnsi" w:hAnsiTheme="minorHAnsi"/>
        </w:rPr>
        <w:t>All’atto della consegna verrà redatto apposito verbale.</w:t>
      </w:r>
    </w:p>
    <w:p>
      <w:pPr>
        <w:pStyle w:val="Normal"/>
        <w:spacing w:before="1" w:after="0"/>
        <w:ind w:right="-169" w:hanging="0"/>
        <w:jc w:val="both"/>
        <w:rPr>
          <w:rFonts w:ascii="Calibri" w:hAnsi="Calibri" w:eastAsia="Times New Roman" w:cs="Calibri" w:asciiTheme="minorHAnsi" w:cstheme="minorHAnsi" w:hAnsiTheme="minorHAnsi"/>
        </w:rPr>
      </w:pPr>
      <w:r>
        <w:rPr>
          <w:rFonts w:eastAsia="Times New Roman" w:cs="Calibri" w:ascii="Calibri" w:hAnsi="Calibri" w:asciiTheme="minorHAnsi" w:cstheme="minorHAnsi" w:hAnsiTheme="minorHAnsi"/>
        </w:rPr>
        <w:t>La gestione in appalto comporta la fornitura del personale e l’elaborazione e attuazione delle attività previste nel PDZ nonché la verifica delle attività proposte, le modalità di raccordo e integrazione con l’ufficio di piano e i servizi sociali competenti, il territorio, le modalità di gestione del personale, di aggiornamento e formazione dello stesso.</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 xml:space="preserve">ART. 3 – AMMONTARE DELL’APPALTO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Il valore stimato del presente </w:t>
      </w:r>
      <w:r>
        <w:rPr>
          <w:rFonts w:eastAsia="Times New Roman" w:cs="Calibri" w:ascii="Calibri" w:hAnsi="Calibri" w:asciiTheme="minorHAnsi" w:cstheme="minorHAnsi" w:hAnsiTheme="minorHAnsi"/>
          <w:lang w:val="it-IT" w:eastAsia="it-IT"/>
        </w:rPr>
        <w:t>contratto</w:t>
      </w:r>
      <w:r>
        <w:rPr>
          <w:rFonts w:eastAsia="Times New Roman" w:cs="Calibri" w:ascii="Calibri" w:hAnsi="Calibri" w:asciiTheme="minorHAnsi" w:cstheme="minorHAnsi" w:hAnsiTheme="minorHAnsi"/>
          <w:lang w:eastAsia="it-IT"/>
        </w:rPr>
        <w:t xml:space="preserve"> per il </w:t>
      </w:r>
      <w:r>
        <w:rPr>
          <w:rFonts w:eastAsia="Times New Roman" w:cs="Calibri" w:ascii="Calibri" w:hAnsi="Calibri" w:asciiTheme="minorHAnsi" w:cstheme="minorHAnsi" w:hAnsiTheme="minorHAnsi"/>
          <w:lang w:val="it-IT" w:eastAsia="it-IT"/>
        </w:rPr>
        <w:t>biennio</w:t>
      </w:r>
      <w:r>
        <w:rPr>
          <w:rFonts w:eastAsia="Times New Roman" w:cs="Calibri" w:ascii="Calibri" w:hAnsi="Calibri" w:asciiTheme="minorHAnsi" w:cstheme="minorHAnsi" w:hAnsiTheme="minorHAnsi"/>
          <w:lang w:eastAsia="it-IT"/>
        </w:rPr>
        <w:t xml:space="preserve">, (cioè il valore massimo pagabile, al netto dell’IVA), è pari ad € 1.466.816,00  esclusa IVA, di cui € </w:t>
      </w:r>
      <w:r>
        <w:rPr>
          <w:rFonts w:eastAsia="Times New Roman" w:cs="Times New Roman" w:ascii="Times New Roman" w:hAnsi="Times New Roman"/>
          <w:b/>
          <w:bCs/>
          <w:color w:val="000000"/>
          <w:spacing w:val="-2"/>
          <w:sz w:val="22"/>
          <w:szCs w:val="22"/>
          <w:lang w:val="en-US" w:eastAsia="it-IT"/>
        </w:rPr>
        <w:t>235.485,12</w:t>
      </w:r>
      <w:r>
        <w:rPr>
          <w:rFonts w:eastAsia="Times New Roman" w:cs="Calibri" w:ascii="Calibri" w:hAnsi="Calibri" w:asciiTheme="minorHAnsi" w:cstheme="minorHAnsi" w:hAnsiTheme="minorHAnsi"/>
          <w:lang w:eastAsia="it-IT"/>
        </w:rPr>
        <w:t xml:space="preserve">   per costi della manodopera (art. 41, comma 14, del D.Lgs. 36/2023 e ss.mm.ii.) e i costi della sicurezza derivanti da rischi da interferenze, ai sensi dell’articolo 26 del D.Lgs. n. 81/08 non soggetti al ribasso, sono stati quantificati in Euro 0,00.</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Il presente </w:t>
      </w:r>
      <w:r>
        <w:rPr>
          <w:rFonts w:eastAsia="Times New Roman" w:cs="Calibri" w:ascii="Calibri" w:hAnsi="Calibri" w:asciiTheme="minorHAnsi" w:cstheme="minorHAnsi" w:hAnsiTheme="minorHAnsi"/>
          <w:lang w:val="it-IT" w:eastAsia="it-IT"/>
        </w:rPr>
        <w:t>contratto</w:t>
      </w:r>
      <w:r>
        <w:rPr>
          <w:rFonts w:eastAsia="Times New Roman" w:cs="Calibri" w:ascii="Calibri" w:hAnsi="Calibri" w:asciiTheme="minorHAnsi" w:cstheme="minorHAnsi" w:hAnsiTheme="minorHAnsi"/>
          <w:lang w:eastAsia="it-IT"/>
        </w:rPr>
        <w:t xml:space="preserve"> non prevede un minimo garantito.</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Si evidenzia che il valore dell’accordo, come sopra riportato, è frutto di una stima relativa al presumibile fabbisogno dell’Ambito N14 .</w:t>
      </w:r>
    </w:p>
    <w:p>
      <w:pPr>
        <w:pStyle w:val="Normal"/>
        <w:widowControl/>
        <w:jc w:val="both"/>
        <w:rPr>
          <w:rFonts w:ascii="Calibri" w:hAnsi="Calibri" w:eastAsia="Times New Roman" w:cs="Calibri" w:asciiTheme="minorHAnsi" w:cstheme="minorHAnsi" w:hAnsiTheme="minorHAnsi"/>
          <w:bCs/>
          <w:lang w:eastAsia="it-IT"/>
        </w:rPr>
      </w:pPr>
      <w:r>
        <w:rPr>
          <w:rFonts w:eastAsia="Times New Roman" w:cs="Calibri" w:ascii="Calibri" w:hAnsi="Calibri" w:asciiTheme="minorHAnsi" w:cstheme="minorHAnsi" w:hAnsiTheme="minorHAnsi"/>
          <w:bCs/>
          <w:lang w:eastAsia="it-IT"/>
        </w:rPr>
        <w:t>L’appalto è finanziato con fondi comunali e regionali.</w:t>
      </w:r>
    </w:p>
    <w:p>
      <w:pPr>
        <w:pStyle w:val="Normal"/>
        <w:widowControl/>
        <w:jc w:val="both"/>
        <w:rPr>
          <w:rFonts w:ascii="Calibri" w:hAnsi="Calibri" w:eastAsia="Times New Roman" w:cs="Calibri" w:asciiTheme="minorHAnsi" w:cstheme="minorHAnsi" w:hAnsiTheme="minorHAnsi"/>
          <w:b/>
          <w:b/>
          <w:bCs/>
          <w:color w:val="FF0000"/>
          <w:lang w:eastAsia="it-IT"/>
        </w:rPr>
      </w:pPr>
      <w:r>
        <w:rPr>
          <w:rFonts w:eastAsia="Times New Roman" w:cs="Calibri" w:cstheme="minorHAnsi" w:ascii="Calibri" w:hAnsi="Calibri"/>
          <w:b/>
          <w:bCs/>
          <w:color w:val="FF0000"/>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 4 –DURATA</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La durata del</w:t>
      </w:r>
      <w:r>
        <w:rPr>
          <w:rFonts w:eastAsia="Times New Roman" w:cs="Calibri" w:ascii="Calibri" w:hAnsi="Calibri" w:asciiTheme="minorHAnsi" w:cstheme="minorHAnsi" w:hAnsiTheme="minorHAnsi"/>
          <w:lang w:val="it-IT" w:eastAsia="it-IT"/>
        </w:rPr>
        <w:t xml:space="preserve"> contratto</w:t>
      </w:r>
      <w:r>
        <w:rPr>
          <w:rFonts w:eastAsia="Times New Roman" w:cs="Calibri" w:ascii="Calibri" w:hAnsi="Calibri" w:asciiTheme="minorHAnsi" w:cstheme="minorHAnsi" w:hAnsiTheme="minorHAnsi"/>
          <w:lang w:eastAsia="it-IT"/>
        </w:rPr>
        <w:t xml:space="preserve"> per il servizio di “</w:t>
      </w:r>
      <w:r>
        <w:rPr>
          <w:rFonts w:eastAsia="Times New Roman" w:cs="Calibri" w:ascii="Calibri" w:hAnsi="Calibri" w:asciiTheme="minorHAnsi" w:cstheme="minorHAnsi" w:hAnsiTheme="minorHAnsi"/>
          <w:lang w:val="it-IT" w:eastAsia="it-IT"/>
        </w:rPr>
        <w:t>Centro per le Famiglie</w:t>
      </w:r>
      <w:r>
        <w:rPr>
          <w:rFonts w:eastAsia="Times New Roman" w:cs="Calibri" w:ascii="Calibri" w:hAnsi="Calibri" w:asciiTheme="minorHAnsi" w:cstheme="minorHAnsi" w:hAnsiTheme="minorHAnsi"/>
          <w:lang w:eastAsia="it-IT"/>
        </w:rPr>
        <w:t xml:space="preserve">” è di n. </w:t>
      </w:r>
      <w:r>
        <w:rPr>
          <w:rFonts w:eastAsia="Times New Roman" w:cs="Calibri" w:ascii="Calibri" w:hAnsi="Calibri" w:asciiTheme="minorHAnsi" w:cstheme="minorHAnsi" w:hAnsiTheme="minorHAnsi"/>
          <w:lang w:val="it-IT" w:eastAsia="it-IT"/>
        </w:rPr>
        <w:t>2</w:t>
      </w:r>
      <w:r>
        <w:rPr>
          <w:rFonts w:eastAsia="Times New Roman" w:cs="Calibri" w:ascii="Calibri" w:hAnsi="Calibri" w:asciiTheme="minorHAnsi" w:cstheme="minorHAnsi" w:hAnsiTheme="minorHAnsi"/>
          <w:lang w:eastAsia="it-IT"/>
        </w:rPr>
        <w:t xml:space="preserve"> anni a decorrere dalla stipula dello stesso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Non è prevista proroga né rinnovo oltre il </w:t>
      </w:r>
      <w:r>
        <w:rPr>
          <w:rFonts w:eastAsia="Times New Roman" w:cs="Calibri" w:ascii="Calibri" w:hAnsi="Calibri" w:asciiTheme="minorHAnsi" w:cstheme="minorHAnsi" w:hAnsiTheme="minorHAnsi"/>
          <w:lang w:val="it-IT" w:eastAsia="it-IT"/>
        </w:rPr>
        <w:t>secondo</w:t>
      </w:r>
      <w:r>
        <w:rPr>
          <w:rFonts w:eastAsia="Times New Roman" w:cs="Calibri" w:ascii="Calibri" w:hAnsi="Calibri" w:asciiTheme="minorHAnsi" w:cstheme="minorHAnsi" w:hAnsiTheme="minorHAnsi"/>
          <w:lang w:eastAsia="it-IT"/>
        </w:rPr>
        <w:t xml:space="preserve"> anno. </w:t>
      </w:r>
      <w:bookmarkStart w:id="0" w:name="_Hlk213614545"/>
      <w:bookmarkEnd w:id="0"/>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Le attività saranno avviate a seguito della sottoscrizione del  contratto  per la durata prevista dallo stesso previo consegna formale di avvio delle attività. Eventuali ritardi nell'avvio delle attività conseguenti alle occorrenti procedure amministrative o a qualsivoglia procedura interna o esterna all’Ambito, non potranno, a nessun titolo, essere fatti valere dall'affidatario.</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La Stazione Appaltante si riserva di autorizzare l'esecuzione anticipata delle prestazioni ai sensi dell’art. 50 comma 6 del D- Lgs 36/2023.</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eastAsia="Times New Roman" w:cs="Calibri" w:asciiTheme="minorHAnsi" w:cstheme="minorHAnsi" w:hAnsiTheme="minorHAnsi"/>
          <w:color w:val="FF0000"/>
          <w:lang w:eastAsia="it-IT"/>
        </w:rPr>
      </w:pPr>
      <w:r>
        <w:rPr>
          <w:rFonts w:eastAsia="Times New Roman" w:cs="Calibri" w:ascii="Calibri" w:hAnsi="Calibri" w:asciiTheme="minorHAnsi" w:cstheme="minorHAnsi" w:hAnsiTheme="minorHAnsi"/>
          <w:color w:val="FF0000"/>
          <w:lang w:eastAsia="it-IT"/>
        </w:rPr>
        <w:t>.</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 xml:space="preserve">ART. 5  – CARATTERISTICHE DEL CONTRATTO </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bCs/>
          <w:lang w:eastAsia="it-IT"/>
        </w:rPr>
      </w:pPr>
      <w:r>
        <w:rPr>
          <w:rFonts w:eastAsia="Times New Roman" w:cs="Calibri" w:ascii="Calibri" w:hAnsi="Calibri" w:asciiTheme="minorHAnsi" w:cstheme="minorHAnsi" w:hAnsiTheme="minorHAnsi"/>
          <w:bCs/>
          <w:lang w:eastAsia="it-IT"/>
        </w:rPr>
        <w:t>Il contratto defini</w:t>
      </w:r>
      <w:r>
        <w:rPr>
          <w:rFonts w:eastAsia="Times New Roman" w:cs="Calibri" w:ascii="Calibri" w:hAnsi="Calibri" w:asciiTheme="minorHAnsi" w:cstheme="minorHAnsi" w:hAnsiTheme="minorHAnsi"/>
          <w:bCs/>
          <w:lang w:val="it-IT" w:eastAsia="it-IT"/>
        </w:rPr>
        <w:t xml:space="preserve">sce </w:t>
      </w:r>
      <w:r>
        <w:rPr>
          <w:rFonts w:eastAsia="Times New Roman" w:cs="Calibri" w:ascii="Calibri" w:hAnsi="Calibri" w:asciiTheme="minorHAnsi" w:cstheme="minorHAnsi" w:hAnsiTheme="minorHAnsi"/>
          <w:bCs/>
          <w:lang w:eastAsia="it-IT"/>
        </w:rPr>
        <w:t>la tipologia delle prestazioni, la quantificazione delle giornate consulenziali e la tipologia dei consulenti da impiegare nelle prestazioni, il periodo di esecuzione.</w:t>
      </w:r>
    </w:p>
    <w:p>
      <w:pPr>
        <w:pStyle w:val="Normal"/>
        <w:widowControl/>
        <w:jc w:val="both"/>
        <w:rPr>
          <w:rFonts w:ascii="Calibri" w:hAnsi="Calibri" w:eastAsia="Times New Roman" w:cs="Calibri" w:asciiTheme="minorHAnsi" w:cstheme="minorHAnsi" w:hAnsiTheme="minorHAnsi"/>
          <w:bCs/>
          <w:lang w:eastAsia="it-IT"/>
        </w:rPr>
      </w:pPr>
      <w:r>
        <w:rPr>
          <w:rFonts w:eastAsia="Times New Roman" w:cs="Calibri" w:ascii="Calibri" w:hAnsi="Calibri" w:asciiTheme="minorHAnsi" w:cstheme="minorHAnsi" w:hAnsiTheme="minorHAnsi"/>
          <w:bCs/>
          <w:lang w:eastAsia="it-IT"/>
        </w:rPr>
        <w:t>Il Contratto sottoscritto digitalmente dal Committente, verr</w:t>
      </w:r>
      <w:r>
        <w:rPr>
          <w:rFonts w:eastAsia="Times New Roman" w:cs="Calibri" w:ascii="Calibri" w:hAnsi="Calibri" w:asciiTheme="minorHAnsi" w:cstheme="minorHAnsi" w:hAnsiTheme="minorHAnsi"/>
          <w:bCs/>
          <w:lang w:val="it-IT" w:eastAsia="it-IT"/>
        </w:rPr>
        <w:t xml:space="preserve">à </w:t>
      </w:r>
      <w:r>
        <w:rPr>
          <w:rFonts w:eastAsia="Times New Roman" w:cs="Calibri" w:ascii="Calibri" w:hAnsi="Calibri" w:asciiTheme="minorHAnsi" w:cstheme="minorHAnsi" w:hAnsiTheme="minorHAnsi"/>
          <w:bCs/>
          <w:lang w:eastAsia="it-IT"/>
        </w:rPr>
        <w:t>inviato a mezzo PEC all’appaltatore che – entro dieci giorni dal ricevimento – dovrà provvedere:</w:t>
      </w:r>
    </w:p>
    <w:p>
      <w:pPr>
        <w:pStyle w:val="Normal"/>
        <w:widowControl/>
        <w:jc w:val="both"/>
        <w:rPr>
          <w:rFonts w:ascii="Calibri" w:hAnsi="Calibri" w:eastAsia="Times New Roman" w:cs="Calibri" w:asciiTheme="minorHAnsi" w:cstheme="minorHAnsi" w:hAnsiTheme="minorHAnsi"/>
          <w:bCs/>
          <w:lang w:eastAsia="it-IT"/>
        </w:rPr>
      </w:pPr>
      <w:r>
        <w:rPr>
          <w:rFonts w:eastAsia="Times New Roman" w:cs="Calibri" w:ascii="Calibri" w:hAnsi="Calibri" w:asciiTheme="minorHAnsi" w:cstheme="minorHAnsi" w:hAnsiTheme="minorHAnsi"/>
          <w:b/>
          <w:bCs/>
          <w:lang w:eastAsia="it-IT"/>
        </w:rPr>
        <w:t>a)</w:t>
        <w:tab/>
      </w:r>
      <w:r>
        <w:rPr>
          <w:rFonts w:eastAsia="Times New Roman" w:cs="Calibri" w:ascii="Calibri" w:hAnsi="Calibri" w:asciiTheme="minorHAnsi" w:cstheme="minorHAnsi" w:hAnsiTheme="minorHAnsi"/>
          <w:bCs/>
          <w:lang w:eastAsia="it-IT"/>
        </w:rPr>
        <w:t>al pagamento dell’imposta di bollo, secondo le modalità previste dall’art. 3 del D.P.R. 642/1972;</w:t>
      </w:r>
    </w:p>
    <w:p>
      <w:pPr>
        <w:pStyle w:val="Normal"/>
        <w:widowControl/>
        <w:jc w:val="both"/>
        <w:rPr>
          <w:rFonts w:ascii="Calibri" w:hAnsi="Calibri" w:eastAsia="Times New Roman" w:cs="Calibri" w:asciiTheme="minorHAnsi" w:cstheme="minorHAnsi" w:hAnsiTheme="minorHAnsi"/>
          <w:bCs/>
          <w:lang w:eastAsia="it-IT"/>
        </w:rPr>
      </w:pPr>
      <w:r>
        <w:rPr>
          <w:rFonts w:eastAsia="Times New Roman" w:cs="Calibri" w:ascii="Calibri" w:hAnsi="Calibri" w:asciiTheme="minorHAnsi" w:cstheme="minorHAnsi" w:hAnsiTheme="minorHAnsi"/>
          <w:bCs/>
          <w:lang w:eastAsia="it-IT"/>
        </w:rPr>
        <w:t>b)</w:t>
        <w:tab/>
        <w:t>alla sottoscrizione per accettazione, mediante apposizione della propria firma digitale sul file pdf ricevuto;</w:t>
      </w:r>
    </w:p>
    <w:p>
      <w:pPr>
        <w:pStyle w:val="Normal"/>
        <w:widowControl/>
        <w:jc w:val="both"/>
        <w:rPr>
          <w:rFonts w:ascii="Calibri" w:hAnsi="Calibri" w:eastAsia="Times New Roman" w:cs="Calibri" w:asciiTheme="minorHAnsi" w:cstheme="minorHAnsi" w:hAnsiTheme="minorHAnsi"/>
          <w:bCs/>
          <w:lang w:eastAsia="it-IT"/>
        </w:rPr>
      </w:pPr>
      <w:r>
        <w:rPr>
          <w:rFonts w:eastAsia="Times New Roman" w:cs="Calibri" w:ascii="Calibri" w:hAnsi="Calibri" w:asciiTheme="minorHAnsi" w:cstheme="minorHAnsi" w:hAnsiTheme="minorHAnsi"/>
          <w:bCs/>
          <w:lang w:eastAsia="it-IT"/>
        </w:rPr>
        <w:t>c)</w:t>
        <w:tab/>
        <w:t xml:space="preserve">all’invio dello stesso a mezzo PEC all’indirizzo: </w:t>
      </w:r>
      <w:r>
        <w:rPr>
          <w:rFonts w:cs="Calibri" w:ascii="Calibri" w:hAnsi="Calibri" w:asciiTheme="minorHAnsi" w:cstheme="minorHAnsi" w:hAnsiTheme="minorHAnsi"/>
        </w:rPr>
        <w:t>protocollo@pec.comune.giugliano.na.it</w:t>
      </w:r>
    </w:p>
    <w:p>
      <w:pPr>
        <w:pStyle w:val="Normal"/>
        <w:widowControl/>
        <w:jc w:val="both"/>
        <w:rPr>
          <w:rFonts w:ascii="Calibri" w:hAnsi="Calibri" w:eastAsia="Times New Roman" w:cs="Calibri" w:asciiTheme="minorHAnsi" w:cstheme="minorHAnsi" w:hAnsiTheme="minorHAnsi"/>
          <w:bCs/>
          <w:color w:val="FF0000"/>
          <w:lang w:eastAsia="it-IT"/>
        </w:rPr>
      </w:pPr>
      <w:r>
        <w:rPr>
          <w:rFonts w:eastAsia="Times New Roman" w:cs="Calibri" w:cstheme="minorHAnsi" w:ascii="Calibri" w:hAnsi="Calibri"/>
          <w:bCs/>
          <w:color w:val="FF0000"/>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 6 – GARANZIE</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Ai sensi dell’art. 117, comma 1, D. Lgs. n. 36/2023, l’affidatario è tenuto a costituire una garanzia fideiussoria pari al _______% all’importo contrattuale, a garanzia dell’impegno all’esecuzione del contratto per tutta la sua durata, con le modalità previste dall’articolo 106 del D. Lgs. 36/2023.</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Alla cauzione definitiva si applicano le riduzioni previste dall’art. 106, comma 8 del D. Lgs. 36/2023.</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In caso di risoluzione del contratto per inadempimento la cauzione sarà incamerata da questo Comune, fino alla copertura dei danni e delle indennità dovute e fatto salvo il risarcimento del danno ulteriore.</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A garanzia dell’esatto e puntuale adempimento di tutte le obbligazioni derivanti dal presente contratto l'aggiudicatario ha costituito ai sensi dell’art. 117 del D. Lgs. n.36/2023, Polizza fideiussoria definitiva, contratta con la compagnia ________________ P.IVA _______ n. _________in data __________ per l’importo garantito di complessive € ___________ ( ______________).</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Detta garanzia sarà svincolata dal comune nei modi e termini di legge. In merito alla stessa la società appaltatrice, sempre come rappresentata concede ampia facoltà di utilizzarla in tutto o in parte nel caso di inadempienza ai patti contrattuali, così come riconosce il diritto ai maggiori danni ove questi dovessero essere superiori al suo importo.</w:t>
      </w:r>
    </w:p>
    <w:p>
      <w:pPr>
        <w:pStyle w:val="Normal"/>
        <w:widowControl/>
        <w:jc w:val="both"/>
        <w:rPr>
          <w:rFonts w:ascii="Calibri" w:hAnsi="Calibri" w:eastAsia="Times New Roman" w:cs="Calibri" w:asciiTheme="minorHAnsi" w:cstheme="minorHAnsi" w:hAnsiTheme="minorHAnsi"/>
          <w:b/>
          <w:b/>
          <w:bCs/>
          <w:color w:val="FF0000"/>
          <w:lang w:eastAsia="it-IT"/>
        </w:rPr>
      </w:pPr>
      <w:r>
        <w:rPr>
          <w:rFonts w:eastAsia="Times New Roman" w:cs="Calibri" w:cstheme="minorHAnsi" w:ascii="Calibri" w:hAnsi="Calibri"/>
          <w:b/>
          <w:bCs/>
          <w:color w:val="FF0000"/>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 7 – PAGAMENTI</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Il corrispettivo da erogare all’operatore economico aggiudicatario è sulla base del prezzo offerto in sede di gara. Precisamente l’emissione della fattura da parte dell’operatore economico è subordinata all’invio della rendicontazione del servizio reso in conformità a quanto stabilito dagli atti di gara che qui si intendono integralmente richiamati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Ai sensi della L. n.136/2010 e ss.mm.ii., l’affidataria società ha indicato il seguente conto corrente bancario dedicato, da utilizzare, sia in entrata che in uscita, per tutta la gestione contrattuale, intestato alla </w:t>
      </w:r>
      <w:r>
        <w:rPr>
          <w:rFonts w:eastAsia="Times New Roman" w:cs="Calibri" w:ascii="Calibri" w:hAnsi="Calibri" w:asciiTheme="minorHAnsi" w:cstheme="minorHAnsi" w:hAnsiTheme="minorHAnsi"/>
          <w:bCs/>
          <w:lang w:eastAsia="it-IT"/>
        </w:rPr>
        <w:t>______________________________</w:t>
      </w:r>
      <w:r>
        <w:rPr>
          <w:rFonts w:eastAsia="Times New Roman" w:cs="Calibri" w:ascii="Calibri" w:hAnsi="Calibri" w:asciiTheme="minorHAnsi" w:cstheme="minorHAnsi" w:hAnsiTheme="minorHAnsi"/>
          <w:lang w:eastAsia="it-IT"/>
        </w:rPr>
        <w:t xml:space="preserve">.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Ai sensi della L. n.136/2010 e ss.mm.ii., la ditta ha indicato il seguente conto corrente bancario dedicato, da utilizzare, sia in entrata che in uscita, per tutta la gestione contrattuale: IBAN : </w:t>
      </w:r>
      <w:r>
        <w:rPr>
          <w:rFonts w:eastAsia="Times New Roman" w:cs="Calibri" w:ascii="Calibri" w:hAnsi="Calibri" w:asciiTheme="minorHAnsi" w:cstheme="minorHAnsi" w:hAnsiTheme="minorHAnsi"/>
          <w:b/>
          <w:bCs/>
          <w:lang w:eastAsia="it-IT"/>
        </w:rPr>
        <w:t xml:space="preserve">___________________________; Soggetto delegato ad operare sul conto corrente dedicato con gestione e disponibilità esclusiva: ________________________________.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A pena di nullità del contratto, tutti i movimenti finanziari relativi all’appalto oggetto del presente contratto, devono essere registrati sui conti correnti dedicati sopracitati e devono essere effettuati esclusivamente tramite lo strumento del bonifico bancario o postale, ovvero con altri strumenti di pagamento idonei a consentire la piena tracciabilità delle operazioni (sono esentate le fattispecie contemplate all'art. 3 comma 3, della L. 136/2010 e ss.mm. e ii);</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Il mancato utilizzo del bonifico bancario o postale, ovvero degli strumenti idonei a consentire la piena tracciabilità delle operazioni, costituisce causa di risoluzione del contratto;</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Ai fini della tracciabilità dei flussi finanziari, gli strumenti di pagamento devono riportare, in relazione a ciascuna transazione posta in essere per il presente contratto, il codice identificativo gara (CIG  </w:t>
      </w:r>
      <w:r>
        <w:rPr>
          <w:rFonts w:eastAsia="Times New Roman" w:cs="Calibri" w:ascii="Calibri" w:hAnsi="Calibri" w:asciiTheme="minorHAnsi" w:cstheme="minorHAnsi" w:hAnsiTheme="minorHAnsi"/>
          <w:caps/>
          <w:lang w:eastAsia="it-IT"/>
        </w:rPr>
        <w:t>9885880640</w:t>
      </w:r>
      <w:r>
        <w:rPr>
          <w:rFonts w:eastAsia="Times New Roman" w:cs="Calibri" w:ascii="Calibri" w:hAnsi="Calibri" w:asciiTheme="minorHAnsi" w:cstheme="minorHAnsi" w:hAnsiTheme="minorHAnsi"/>
          <w:lang w:eastAsia="it-IT"/>
        </w:rPr>
        <w:t>) attribuito dall'Autorità Nazionale Anticorruzione nonché il CUP/ i CUP di riferimento nell’atto richiamati;</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È fatto obbligo di provvedere ad ogni modifica relativa alla generalità e al codice fiscale delle persone delegate ad operare sul suddetto c/c dedicato. A pena di nullità assoluta, l'operatore economico assume gli obblighi di tracciabilità dei flussi finanziari di cui alla legge sopra citata;</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L’assunzione degli obblighi di tracciabilità dei flussi finanziari deve essere riportata in tutti i contratti sottoscritti con i subappaltatori ed i subcontraenti della filiera delle imprese a qualsiasi titolo interessate al lavoro di cui al presente contratto e il comune può verificare in ogni momento tale adempimento.</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 8 - ELEZIONE DEL DOMICILIO</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bCs/>
          <w:lang w:eastAsia="it-IT"/>
        </w:rPr>
      </w:pPr>
      <w:r>
        <w:rPr>
          <w:rFonts w:eastAsia="Times New Roman" w:cs="Calibri" w:ascii="Calibri" w:hAnsi="Calibri" w:asciiTheme="minorHAnsi" w:cstheme="minorHAnsi" w:hAnsiTheme="minorHAnsi"/>
          <w:bCs/>
          <w:lang w:eastAsia="it-IT"/>
        </w:rPr>
        <w:t xml:space="preserve">Agli effetti del presente Contratto, l’Affidataria </w:t>
        <w:tab/>
        <w:tab/>
        <w:t>come costituita e rappresentata, dichiara di avere il proprio Domicilio nella propria Sede, sita in</w:t>
        <w:tab/>
        <w:t>, Cap.</w:t>
        <w:tab/>
        <w:t xml:space="preserve">, </w:t>
        <w:tab/>
        <w:t>(</w:t>
        <w:tab/>
        <w:t>), e- mail-pec:</w:t>
        <w:tab/>
        <w:t>.</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 9 -  VERIFICHE E CONTROLLI</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bCs/>
          <w:lang w:eastAsia="it-IT"/>
        </w:rPr>
      </w:pPr>
      <w:r>
        <w:rPr>
          <w:rFonts w:eastAsia="Times New Roman" w:cs="Calibri" w:ascii="Calibri" w:hAnsi="Calibri" w:asciiTheme="minorHAnsi" w:cstheme="minorHAnsi" w:hAnsiTheme="minorHAnsi"/>
          <w:bCs/>
          <w:lang w:eastAsia="it-IT"/>
        </w:rPr>
        <w:t>In conformità a quanto previsto dal Capitolato Generale d’Appalto è previsto un controllo sul regolare svolgimento del Servizio sia in itinere, che al termine, al fine di verificare i risultati conseguiti durante tutte le fasi dei progetti presentati in sede di gara</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 10 – RESPONSABILITA’ VERSO TERZI</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L’Appaltatore assume la responsabilità di danni a persone e cose, sia per quanto riguarda i dipendenti e i materiali di sua proprietà, sia quelli che essa dovesse arrecare a terzi in conseguenza dell’esecuzione dell’appalto e delle attività connesse, sollevando la Stazione Appaltante da ogni responsabilità al riguardo. Si rimanda al CSA.</w:t>
      </w:r>
    </w:p>
    <w:p>
      <w:pPr>
        <w:pStyle w:val="Normal"/>
        <w:widowControl/>
        <w:jc w:val="both"/>
        <w:rPr>
          <w:rFonts w:ascii="Calibri" w:hAnsi="Calibri" w:eastAsia="Times New Roman" w:cs="Calibri" w:asciiTheme="minorHAnsi" w:cstheme="minorHAnsi" w:hAnsiTheme="minorHAnsi"/>
          <w:b/>
          <w:b/>
          <w:bCs/>
          <w:color w:val="FF0000"/>
          <w:lang w:eastAsia="it-IT"/>
        </w:rPr>
      </w:pPr>
      <w:r>
        <w:rPr>
          <w:rFonts w:eastAsia="Times New Roman" w:cs="Calibri" w:cstheme="minorHAnsi" w:ascii="Calibri" w:hAnsi="Calibri"/>
          <w:b/>
          <w:bCs/>
          <w:color w:val="FF0000"/>
          <w:lang w:eastAsia="it-IT"/>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b/>
          <w:bCs/>
          <w:lang w:eastAsia="it-IT"/>
        </w:rPr>
        <w:t>ART. 11 – PENALI</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L’Appaltatore deve espressamente attenersi a quanto prescritto dal CSA.</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 12 – RISOLUZIONE E RECESSO</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Si applicano gli art 122,123 e 124 del D.Lgs n. 36/2023</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L’Amministrazione si riserva, altresì, la facoltà di risolvere il contratto, previa diffida ad adempiere, trattenendo la cauzione definitiva quale penale, nei casi previsti dal Capitolato Generale d’Appalto.</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L’Affidataria può richiedere la risoluzione del contratto in caso di impossibilità ad eseguire la prestazione per causa allo stesso soggetto non imputabile, secondo le disposizioni del codice civile artt. 1218,1256,1463.</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L’Amministrazione può inoltre recedere dal contratto d’appalto per motivi di pubblico interesse e in qualsiasi momento dell’esecuzione, avvalendosi delle facoltà concesse dal codice civile.</w:t>
      </w:r>
    </w:p>
    <w:p>
      <w:pPr>
        <w:pStyle w:val="Normal"/>
        <w:widowControl/>
        <w:jc w:val="both"/>
        <w:rPr>
          <w:rFonts w:ascii="Calibri" w:hAnsi="Calibri" w:eastAsia="Times New Roman" w:cs="Calibri" w:asciiTheme="minorHAnsi" w:cstheme="minorHAnsi" w:hAnsiTheme="minorHAnsi"/>
          <w:color w:val="FF0000"/>
          <w:lang w:eastAsia="it-IT"/>
        </w:rPr>
      </w:pPr>
      <w:r>
        <w:rPr>
          <w:rFonts w:eastAsia="Times New Roman" w:cs="Calibri" w:cstheme="minorHAnsi" w:ascii="Calibri" w:hAnsi="Calibri"/>
          <w:color w:val="FF0000"/>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 13 – VARIAZIONI MODIFICHE AL CONTRATTO E REVISIONE PREZZI</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Qualunque Modifica al presente Contratto, dovrà risultare esclusivamente da Atto Scritto.</w:t>
      </w:r>
    </w:p>
    <w:p>
      <w:pPr>
        <w:pStyle w:val="Normal"/>
        <w:widowControl/>
        <w:jc w:val="both"/>
        <w:rPr>
          <w:rFonts w:ascii="Calibri" w:hAnsi="Calibri" w:eastAsia="Times New Roman" w:cs="Calibri" w:asciiTheme="minorHAnsi" w:cstheme="minorHAnsi" w:hAnsiTheme="minorHAnsi"/>
          <w:b/>
          <w:b/>
          <w:lang w:eastAsia="it-IT"/>
        </w:rPr>
      </w:pPr>
      <w:r>
        <w:rPr>
          <w:rFonts w:eastAsia="Times New Roman" w:cs="Calibri" w:cstheme="minorHAnsi" w:ascii="Calibri" w:hAnsi="Calibri"/>
          <w:b/>
          <w:lang w:eastAsia="it-IT"/>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Per le modifiche contrattuali si applica l’art. 120 del D.lgs. 36/2023. Ai sensi del comma 9, del già menzionato articolo qualora in corso di esecuzione del contratto si renda necessario un aumento o una diminuzione delle prestazioni fino a concorrenza del quinto dell’importo del contratto, la Stazione Appaltante può imporre all’Appaltatore l’esecuzione alle condizioni originariamente previste, in tal caso l’Appaltatore non può far valere il diritto alla risoluzione del contratto. Per il presente contratto è ammessa la revisione del prezzo d’appalto, ai sensi dell'art. 60 del D.lgs. 36/2023, sulla base di apposita istruttoria. Qualora nel corso di esecuzione del contratto, al verificarsi di particolari condizioni di natura oggettiva, si determini una variazione, in aumento o in diminuzione, del costo del servizio superiore al cinque per cento, dell’importo complessivo, i prezzi sono aggiornati, nella misura dell’ottanta per cento della variazione, in relazione alle prestazioni da eseguire.Ai fini della revisione del prezzo verrà applicato, ai sensi dell’art 60, c 3 lett. b) del Codice dei Contratti, l’indice dei prezzi al consumo La richiesta di revisione del prezzo avviene a seguito di istanza documentata da parte dell’operatore economico incaricato e sarà oggetto di riscontro entro il termine di giorni 30 decorrenti dalla ricezione della richiesta medesima, con apposito provvedimento del Responsabile unico di progetto (RUP), conduce entro sessanta giorni, apposita istruttoria al fine di individuare le variazioni percentuali dei singoli prezzi di materiali/servizi che incidono sul contratto aggiudicato. L’istruttoria può tener conto di quanto indicato all’articolo 60, comma 3, lettera b del Codice degli appalti.Sulle richieste avanzate dall’appaltatore la stazione appaltante, al termine dell’istruttoria, e comunque entro 60 (sessanta) giorni, si pronuncia con provvedimento motivato. In caso di accoglimento delle richieste dell’appaltatore il provvedimento determina l’importo della compensazione al medesimo riconosciuta. Si applicano l’art. 29 del Decreto-legge 27 gennaio 2022, n. 4, gli art. 210 e 212 del D.lgs. n. 36/2023 e per il resto, l’art. 1664 del Codice civile.</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 xml:space="preserve">ART. 14 – PATTO DI INTEGRITA’  </w:t>
      </w:r>
    </w:p>
    <w:p>
      <w:pPr>
        <w:pStyle w:val="Normal"/>
        <w:widowControl/>
        <w:tabs>
          <w:tab w:val="clear" w:pos="720"/>
          <w:tab w:val="left" w:pos="142" w:leader="none"/>
        </w:tabs>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Si rinvia agli atti di gara specifica allegati al presente atto. </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 15 – CESSIONE DEL CONTRATTO - SUBAPPALTO</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È vietato cedere il contratto di cui al presente appalto, fatte salve le vicende soggettive dell’esecutore del contratto disciplinate all’art. 120, comma 1, lett. d), punto 2) del D. Lgs. 36/2023. I servizi oggetto dell’appalto hanno caratteristiche per le quali è indispensabile garantire unitarietà gestionale, sia perché rivolte ad utenze problematiche e fragili, sia per assicurare la continuità dell’interfaccia con l’Ufficio di Piano su tutta l’attività gestionale senza frapposizioni e frammentazioni. E’ consentito il subappalto. La cessione del credito derivante dal presente appalto da parte dell’impresa appaltatrice o la stipulazione di un contratto di factoring devono essere preventivamente autorizzati dall’Amministrazione, ai sensi di quanto disposto dell’art. 120, comma 12, del D. Lgs n. 36/2023.</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 16 – RIMANDI</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Per quanto non espressamente riportato nel presente contratto d’appalto, si rimanda al CSA, al Disciplinare di gara e a progetto approvato che si dà per allegato e che l’appaltatore ha sottoscritto in sede di gara a valere come accettazione piena.</w:t>
      </w:r>
    </w:p>
    <w:p>
      <w:pPr>
        <w:pStyle w:val="Normal"/>
        <w:widowControl/>
        <w:jc w:val="both"/>
        <w:rPr>
          <w:rFonts w:ascii="Calibri" w:hAnsi="Calibri" w:eastAsia="Times New Roman" w:cs="Calibri" w:asciiTheme="minorHAnsi" w:cstheme="minorHAnsi" w:hAnsiTheme="minorHAnsi"/>
          <w:b/>
          <w:b/>
          <w:bCs/>
          <w:color w:val="FF0000"/>
          <w:lang w:eastAsia="it-IT"/>
        </w:rPr>
      </w:pPr>
      <w:r>
        <w:rPr>
          <w:rFonts w:eastAsia="Times New Roman" w:cs="Calibri" w:cstheme="minorHAnsi" w:ascii="Calibri" w:hAnsi="Calibri"/>
          <w:b/>
          <w:bCs/>
          <w:color w:val="FF0000"/>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 16 – TRATTAMENTO DATI PERSONALI</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Ai sensi del Regolamento UE 2016/679, noto come GDPR (General Data Protection Regulation) relativo alla protezione delle persone fisiche con riguardo al trattamento e alla libera circolazione dei dati personali, la Stazione Appaltante dichiara che i dati dell’Impresa saranno inseriti ed elaborati nelle proprie banche dati, al fine di gestire i reciproci rapporti contrattuali, comprese le istanze ai fini antimafia e la liquidazione effettuata da parte dell’Amministrazione delle eventuali fatture presso gli istituti bancari segnalati dall’Impresa stessa. L’Impresa ha il diritto di conservazione, cancellazione, rettifica, aggiornamento, integrazione ed opposizione al trattamento dei dati stessi, secondo quanto previsto dal GDPR 2016/679. Resta espressamente inteso che l’Impresa, con la sottoscrizione del presente atto, dichiara di aver preso visione di quanto sopra esposto. Titolare delle banche dati di rilievo, ai fini del presente atto, è il Comune di Giugliano in Campania (Ce) così come costituita in testa del presente atto e Responsabile del Trattamento è il Segretario Generale.</w:t>
      </w:r>
    </w:p>
    <w:p>
      <w:pPr>
        <w:pStyle w:val="Normal"/>
        <w:widowControl/>
        <w:jc w:val="both"/>
        <w:rPr>
          <w:rFonts w:ascii="Calibri" w:hAnsi="Calibri" w:eastAsia="Times New Roman" w:cs="Calibri" w:asciiTheme="minorHAnsi" w:cstheme="minorHAnsi" w:hAnsiTheme="minorHAnsi"/>
          <w:b/>
          <w:b/>
          <w:bCs/>
          <w:color w:val="FF0000"/>
          <w:lang w:eastAsia="it-IT"/>
        </w:rPr>
      </w:pPr>
      <w:r>
        <w:rPr>
          <w:rFonts w:eastAsia="Times New Roman" w:cs="Calibri" w:cstheme="minorHAnsi" w:ascii="Calibri" w:hAnsi="Calibri"/>
          <w:b/>
          <w:bCs/>
          <w:color w:val="FF0000"/>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 17 - SPESE IMPOSTE E TASSE</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Tutte le spese necessarie per la stipula e registrazione del presente accordo quadro e dei relativi contratti attuativi, ivi comprese le relative variazioni nel corso della sua esecuzione, sono a totale carico del concessionario, ivi inclusa la imposta di bollo se dovuta.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E’ stato accertato il pagamento delle spese contrattuali mediante Codice Riferimento </w:t>
      </w:r>
      <w:r>
        <w:rPr>
          <w:rFonts w:eastAsia="Times New Roman" w:cs="Calibri" w:ascii="Calibri" w:hAnsi="Calibri" w:asciiTheme="minorHAnsi" w:cstheme="minorHAnsi" w:hAnsiTheme="minorHAnsi"/>
          <w:highlight w:val="yellow"/>
          <w:lang w:eastAsia="it-IT"/>
        </w:rPr>
        <w:t>__________________________ per € _______________________ ( __________________/___________) acquisito a protocollo n° ___________ del ___________;</w:t>
      </w:r>
    </w:p>
    <w:p>
      <w:pPr>
        <w:pStyle w:val="Normal"/>
        <w:widowControl/>
        <w:jc w:val="both"/>
        <w:rPr>
          <w:rFonts w:ascii="Calibri" w:hAnsi="Calibri" w:eastAsia="Times New Roman" w:cs="Calibri" w:asciiTheme="minorHAnsi" w:cstheme="minorHAnsi" w:hAnsiTheme="minorHAnsi"/>
          <w:b/>
          <w:b/>
          <w:bCs/>
          <w:color w:val="FF0000"/>
          <w:lang w:eastAsia="it-IT"/>
        </w:rPr>
      </w:pPr>
      <w:r>
        <w:rPr>
          <w:rFonts w:eastAsia="Times New Roman" w:cs="Calibri" w:cstheme="minorHAnsi" w:ascii="Calibri" w:hAnsi="Calibri"/>
          <w:b/>
          <w:bCs/>
          <w:color w:val="FF0000"/>
          <w:lang w:eastAsia="it-IT"/>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b/>
          <w:bCs/>
          <w:lang w:eastAsia="it-IT"/>
        </w:rPr>
        <w:t>ART. 18 - CONTROVERSIE E FORO COMPETENTE</w:t>
      </w:r>
      <w:r>
        <w:rPr>
          <w:rFonts w:eastAsia="Times New Roman" w:cs="Calibri" w:ascii="Calibri" w:hAnsi="Calibri" w:asciiTheme="minorHAnsi" w:cstheme="minorHAnsi" w:hAnsiTheme="minorHAnsi"/>
          <w:lang w:eastAsia="it-IT"/>
        </w:rPr>
        <w:t>.</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Tutte le controversie che dovessero sorgere tra le parti sull’interpretazione o l’esecuzione del contratto di affidamento del servizio di gestione sono rimesse alla competenza del Foro di Napoli Nord.</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 19 – CLAUSOLA MANLEVA.</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Per tutte le controversie, l’ambito N14 – Comune di Giugliano in Campania Capofila viene espressamente esonerata in ambito al rapporto di debito o di responsabilità diretta nei confronti del soggetto affidatario dell'esecuzione dell'intervento finanziato.</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L’operatore economico è responsabile di qualsiasi danno che i terzi subiscano in dipendenza dell'esecuzione dell'intervento e delle attività connesse e non potrà quindi pretendere di rivalersi nei confronti del Comune di Giugliano in Campania in qualità di ente capofila dell’Ambito N14.</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b/>
          <w:bCs/>
          <w:lang w:eastAsia="it-IT"/>
        </w:rPr>
        <w:t>ART. 20 – CLAUSOLA INTEGRATIVA – OFFERTA TECNICA</w:t>
      </w:r>
      <w:r>
        <w:rPr>
          <w:rFonts w:eastAsia="Times New Roman" w:cs="Calibri" w:ascii="Calibri" w:hAnsi="Calibri" w:asciiTheme="minorHAnsi" w:cstheme="minorHAnsi" w:hAnsiTheme="minorHAnsi"/>
          <w:lang w:eastAsia="it-IT"/>
        </w:rPr>
        <w:t>.</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L’operatore economico, qui costituito, sulla base dell’offerta presentata in sede di gara, è tenuta nel pieno rispetto di quanto in essa dichiarato.</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ascii="Calibri" w:hAnsi="Calibri" w:asciiTheme="minorHAnsi" w:cstheme="minorHAnsi" w:hAnsiTheme="minorHAnsi"/>
          <w:b/>
          <w:bCs/>
          <w:lang w:eastAsia="it-IT"/>
        </w:rPr>
        <w:t>ART. 21 - CONCLUSIONI</w:t>
      </w:r>
    </w:p>
    <w:p>
      <w:pPr>
        <w:pStyle w:val="Normal"/>
        <w:widowControl/>
        <w:jc w:val="both"/>
        <w:rPr>
          <w:rFonts w:ascii="Calibri" w:hAnsi="Calibri" w:eastAsia="Times New Roman" w:cs="Calibri" w:asciiTheme="minorHAnsi" w:cstheme="minorHAnsi" w:hAnsiTheme="minorHAnsi"/>
          <w:b/>
          <w:b/>
          <w:lang w:eastAsia="it-IT"/>
        </w:rPr>
      </w:pPr>
      <w:r>
        <w:rPr>
          <w:rFonts w:eastAsia="Times New Roman" w:cs="Calibri" w:cstheme="minorHAnsi" w:ascii="Calibri" w:hAnsi="Calibri"/>
          <w:b/>
          <w:lang w:eastAsia="it-IT"/>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Le Parti convengono espressamente che, il presente Contratto viene stipulato sotto Condizione Risolutiva all’esito di Verifica (di cui all’art.15 della Legge n.183/2011) della veridicità delle condizioni, stati e qualità personali, Autocertificate dall’AGGIUDICATARIO - come costituito e rappresentato, ai fini della stipula del Contratto.</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Per tutto quanto non previsto in questo Contratto si rinvia a quanto disposto in materia dal Codice Civile, alle Norme vigenti in Materia di Appalti di Lavori Pubblici ed alle restanti Disposizioni di Legge in vigore aventi attinenza con il contenuto del presente Atto.</w:t>
      </w:r>
    </w:p>
    <w:p>
      <w:pPr>
        <w:pStyle w:val="Normal"/>
        <w:widowControl/>
        <w:jc w:val="both"/>
        <w:rPr>
          <w:rFonts w:ascii="Calibri" w:hAnsi="Calibri" w:eastAsia="Times New Roman" w:cs="Calibri" w:asciiTheme="minorHAnsi" w:cstheme="minorHAnsi" w:hAnsiTheme="minorHAnsi"/>
          <w:color w:val="FF0000"/>
          <w:lang w:eastAsia="it-IT"/>
        </w:rPr>
      </w:pPr>
      <w:r>
        <w:rPr>
          <w:rFonts w:eastAsia="Times New Roman" w:cs="Calibri" w:cstheme="minorHAnsi" w:ascii="Calibri" w:hAnsi="Calibri"/>
          <w:color w:val="FF0000"/>
          <w:lang w:eastAsia="it-IT"/>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Come richiesto il Segretario Generale, ufficiale rogante, ho ricevuto il presente atto predisposto in modalità elettronica mediante personal computer e software di videoscrittura (art.32, comma14 del D. Lgs. 50/2016), del quale ho dato chiara lettura alle costituite parti che, da me interpellate, lo hanno dichiarato e riconosciuto conforme alle loro volontà per cui, a conferma, con firma digitale lo sottoscrivono con me ed alla mia presenza, ai sensi dell’art.1, comma 1, lett. s), del D. Lgs n.82/2005 ss.mm.ii..</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Consta il presente atto di pagine ________ fin qui.</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Per il Comune – Dott. ___________________, e domiciliato per la carica presso il Comune di Giugliano in Campania, Dirigente del Comune di Giugliano in Campania capofila dell’Ambito N14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F.to in modalità elettronica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Per la Ditta </w:t>
      </w:r>
      <w:r>
        <w:rPr>
          <w:rFonts w:eastAsia="Times New Roman" w:cs="Calibri" w:ascii="Calibri" w:hAnsi="Calibri" w:asciiTheme="minorHAnsi" w:cstheme="minorHAnsi" w:hAnsiTheme="minorHAnsi"/>
          <w:bCs/>
          <w:lang w:eastAsia="it-IT"/>
        </w:rPr>
        <w:t>________________________________,</w:t>
      </w:r>
      <w:r>
        <w:rPr>
          <w:rFonts w:eastAsia="Times New Roman" w:cs="Calibri" w:ascii="Calibri" w:hAnsi="Calibri" w:asciiTheme="minorHAnsi" w:cstheme="minorHAnsi" w:hAnsiTheme="minorHAnsi"/>
          <w:lang w:eastAsia="it-IT"/>
        </w:rPr>
        <w:t xml:space="preserve"> legalmente rappresentata dal Sig. __________________ che si costituisce nel presente atto nella qualità di legale rappresentante ________________________–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F.to in modalità elettronica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 xml:space="preserve">Il Segretario Generale – ___________________ </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F.to in modalità elettronica.</w:t>
      </w:r>
    </w:p>
    <w:p>
      <w:pPr>
        <w:pStyle w:val="Normal"/>
        <w:widowControl/>
        <w:rPr>
          <w:rFonts w:ascii="Calibri" w:hAnsi="Calibri" w:eastAsia="Times New Roman" w:cs="Calibri" w:asciiTheme="minorHAnsi" w:cstheme="minorHAnsi" w:hAnsiTheme="minorHAnsi"/>
          <w:color w:val="FF0000"/>
          <w:lang w:eastAsia="it-IT"/>
        </w:rPr>
      </w:pPr>
      <w:r>
        <w:rPr>
          <w:rFonts w:eastAsia="Times New Roman" w:cs="Calibri" w:cstheme="minorHAnsi" w:ascii="Calibri" w:hAnsi="Calibri"/>
          <w:color w:val="FF0000"/>
          <w:lang w:eastAsia="it-IT"/>
        </w:rPr>
      </w:r>
    </w:p>
    <w:p>
      <w:pPr>
        <w:pStyle w:val="Titolo1"/>
        <w:ind w:left="25" w:right="-236" w:hanging="0"/>
        <w:jc w:val="center"/>
        <w:rPr>
          <w:rFonts w:ascii="Calibri" w:hAnsi="Calibri" w:cs="Calibri" w:asciiTheme="minorHAnsi" w:cstheme="minorHAnsi" w:hAnsiTheme="minorHAnsi"/>
          <w:color w:val="FF0000"/>
          <w:sz w:val="22"/>
          <w:szCs w:val="22"/>
        </w:rPr>
      </w:pPr>
      <w:r>
        <w:rPr>
          <w:rFonts w:cs="Calibri" w:cstheme="minorHAnsi" w:ascii="Calibri" w:hAnsi="Calibri"/>
          <w:color w:val="FF0000"/>
          <w:sz w:val="22"/>
          <w:szCs w:val="22"/>
        </w:rPr>
      </w:r>
    </w:p>
    <w:p>
      <w:pPr>
        <w:pStyle w:val="Corpodeltesto"/>
        <w:spacing w:before="50" w:after="0"/>
        <w:ind w:left="0" w:right="-236" w:hanging="0"/>
        <w:jc w:val="left"/>
        <w:rPr>
          <w:rFonts w:ascii="Calibri" w:hAnsi="Calibri" w:cs="Calibri" w:asciiTheme="minorHAnsi" w:cstheme="minorHAnsi" w:hAnsiTheme="minorHAnsi"/>
          <w:color w:val="FF0000"/>
          <w:sz w:val="22"/>
          <w:szCs w:val="22"/>
        </w:rPr>
      </w:pPr>
      <w:r>
        <w:rPr>
          <w:rFonts w:cs="Calibri" w:cstheme="minorHAnsi" w:ascii="Calibri" w:hAnsi="Calibri"/>
          <w:color w:val="FF0000"/>
          <w:sz w:val="22"/>
          <w:szCs w:val="22"/>
        </w:rPr>
      </w:r>
      <w:bookmarkStart w:id="1" w:name="_GoBack"/>
      <w:bookmarkStart w:id="2" w:name="_GoBack"/>
      <w:bookmarkEnd w:id="2"/>
    </w:p>
    <w:p>
      <w:pPr>
        <w:pStyle w:val="Corpodeltesto"/>
        <w:ind w:left="0" w:right="-236" w:hanging="0"/>
        <w:jc w:val="left"/>
        <w:rPr>
          <w:rFonts w:ascii="Calibri" w:hAnsi="Calibri" w:cs="Calibri" w:asciiTheme="minorHAnsi" w:cstheme="minorHAnsi" w:hAnsiTheme="minorHAnsi"/>
          <w:color w:val="FF0000"/>
          <w:sz w:val="22"/>
          <w:szCs w:val="22"/>
        </w:rPr>
      </w:pPr>
      <w:r>
        <w:rPr>
          <w:rFonts w:cs="Calibri" w:cstheme="minorHAnsi" w:ascii="Calibri" w:hAnsi="Calibri"/>
          <w:color w:val="FF0000"/>
          <w:sz w:val="22"/>
          <w:szCs w:val="22"/>
        </w:rPr>
      </w:r>
    </w:p>
    <w:p>
      <w:pPr>
        <w:pStyle w:val="Corpodeltesto"/>
        <w:ind w:left="0" w:right="-236" w:hanging="0"/>
        <w:jc w:val="left"/>
        <w:rPr>
          <w:rFonts w:ascii="Calibri" w:hAnsi="Calibri" w:cs="Calibri" w:asciiTheme="minorHAnsi" w:cstheme="minorHAnsi" w:hAnsiTheme="minorHAnsi"/>
          <w:color w:val="FF0000"/>
          <w:sz w:val="22"/>
          <w:szCs w:val="22"/>
        </w:rPr>
      </w:pPr>
      <w:r>
        <w:rPr/>
      </w:r>
    </w:p>
    <w:sectPr>
      <w:headerReference w:type="default" r:id="rId2"/>
      <w:footerReference w:type="default" r:id="rId3"/>
      <w:type w:val="nextPage"/>
      <w:pgSz w:w="11906" w:h="16838"/>
      <w:pgMar w:left="960" w:right="980" w:header="720" w:top="1780" w:footer="720" w:bottom="777"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Liberation Sans">
    <w:altName w:val="Arial"/>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Watermarks"/>
        <w:docPartUnique w:val="true"/>
      </w:docPartObj>
      <w:id w:val="2146959233"/>
    </w:sdtPr>
    <w:sdtContent>
      <w:p>
        <w:pPr>
          <w:pStyle w:val="Intestazione"/>
          <w:rPr/>
        </w:pPr>
        <w:r>
          <w:rPr/>
          <w:pict>
            <v:shapetype id="shapetype_136" coordsize="21600,21600" o:spt="136" adj="10800" path="m@9,l@10,em@11,21600l@12,21600e">
              <v:stroke joinstyle="miter"/>
              <v:formulas>
                <v:f eqn="val #0"/>
                <v:f eqn="sum @0 0 10800"/>
                <v:f eqn="sum @0 0 0"/>
                <v:f eqn="sum width 0 @0"/>
                <v:f eqn="prod @2 2 1"/>
                <v:f eqn="prod @3 2 1"/>
                <v:f eqn="if @1 @5 @4"/>
                <v:f eqn="sum 0 @6 0"/>
                <v:f eqn="sum width 0 @6"/>
                <v:f eqn="if @1 0 @8"/>
                <v:f eqn="if @1 @7 width"/>
                <v:f eqn="if @1 @8 0"/>
                <v:f eqn="if @1 width @7"/>
              </v:formulas>
              <v:handles>
                <v:h position="@0,21600"/>
              </v:handles>
            </v:shapetype>
            <v:shape id="PowerPlusWaterMarkObject357831064" o:spid="shape_0" fillcolor="silver" stroked="f" style="position:absolute;margin-left:43pt;margin-top:276.55pt;width:412.3pt;height:151pt;rotation:315;mso-position-horizontal:center;mso-position-vertical:center;mso-position-vertical-relative:margin" type="shapetype_136">
              <v:path textpathok="t"/>
              <v:textpath on="t" fitshape="t" string="BOZZA" trim="t" style="font-family:&quot;calibri&quot;;font-size:1pt"/>
              <w10:wrap type="none"/>
              <v:fill o:detectmouseclick="t" type="solid" color2="#3f3f3f" opacity="0.5"/>
              <v:stroke color="#3465a4" joinstyle="round" endcap="flat"/>
            </v:shape>
          </w:pict>
        </w:r>
      </w:p>
    </w:sdtContent>
  </w:sdt>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4"/>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val="false"/>
      <w:suppressAutoHyphens w:val="true"/>
      <w:bidi w:val="0"/>
      <w:spacing w:before="0" w:after="0"/>
      <w:jc w:val="left"/>
    </w:pPr>
    <w:rPr>
      <w:rFonts w:ascii="Arial" w:hAnsi="Arial" w:eastAsia="Arial" w:cs="Arial"/>
      <w:color w:val="auto"/>
      <w:kern w:val="0"/>
      <w:sz w:val="22"/>
      <w:szCs w:val="22"/>
      <w:lang w:val="it-IT" w:eastAsia="en-US" w:bidi="ar-SA"/>
    </w:rPr>
  </w:style>
  <w:style w:type="paragraph" w:styleId="Titolo1">
    <w:name w:val="Heading 1"/>
    <w:basedOn w:val="Normal"/>
    <w:uiPriority w:val="9"/>
    <w:qFormat/>
    <w:pPr>
      <w:ind w:left="175" w:hanging="0"/>
      <w:outlineLvl w:val="0"/>
    </w:pPr>
    <w:rPr>
      <w:b/>
      <w:bCs/>
      <w:sz w:val="20"/>
      <w:szCs w:val="20"/>
    </w:rPr>
  </w:style>
  <w:style w:type="paragraph" w:styleId="Titolo2">
    <w:name w:val="Heading 2"/>
    <w:basedOn w:val="Normal"/>
    <w:next w:val="Normal"/>
    <w:link w:val="Titolo2Carattere"/>
    <w:uiPriority w:val="9"/>
    <w:semiHidden/>
    <w:unhideWhenUsed/>
    <w:qFormat/>
    <w:rsid w:val="00900b43"/>
    <w:pPr>
      <w:keepNext w:val="true"/>
      <w:keepLines/>
      <w:spacing w:before="40" w:after="0"/>
      <w:outlineLvl w:val="1"/>
    </w:pPr>
    <w:rPr>
      <w:rFonts w:ascii="Cambria" w:hAnsi="Cambria" w:eastAsia="" w:cs="" w:asciiTheme="majorHAnsi" w:cstheme="majorBidi" w:eastAsiaTheme="majorEastAsia" w:hAnsiTheme="majorHAnsi"/>
      <w:color w:val="365F91" w:themeColor="accent1" w:themeShade="bf"/>
      <w:sz w:val="26"/>
      <w:szCs w:val="26"/>
    </w:rPr>
  </w:style>
  <w:style w:type="character" w:styleId="DefaultParagraphFont" w:default="1">
    <w:name w:val="Default Paragraph Font"/>
    <w:uiPriority w:val="1"/>
    <w:unhideWhenUsed/>
    <w:qFormat/>
    <w:rPr/>
  </w:style>
  <w:style w:type="character" w:styleId="Titolo2Carattere" w:customStyle="1">
    <w:name w:val="Titolo 2 Carattere"/>
    <w:basedOn w:val="DefaultParagraphFont"/>
    <w:link w:val="Titolo2"/>
    <w:uiPriority w:val="9"/>
    <w:semiHidden/>
    <w:qFormat/>
    <w:rsid w:val="00900b43"/>
    <w:rPr>
      <w:rFonts w:ascii="Cambria" w:hAnsi="Cambria" w:eastAsia="" w:cs="" w:asciiTheme="majorHAnsi" w:cstheme="majorBidi" w:eastAsiaTheme="majorEastAsia" w:hAnsiTheme="majorHAnsi"/>
      <w:color w:val="365F91" w:themeColor="accent1" w:themeShade="bf"/>
      <w:sz w:val="26"/>
      <w:szCs w:val="26"/>
      <w:lang w:val="it-IT"/>
    </w:rPr>
  </w:style>
  <w:style w:type="character" w:styleId="CollegamentoInternet">
    <w:name w:val="Collegamento Internet"/>
    <w:basedOn w:val="DefaultParagraphFont"/>
    <w:uiPriority w:val="99"/>
    <w:unhideWhenUsed/>
    <w:rsid w:val="00900b43"/>
    <w:rPr>
      <w:color w:val="0000FF" w:themeColor="hyperlink"/>
      <w:u w:val="single"/>
    </w:rPr>
  </w:style>
  <w:style w:type="character" w:styleId="UnresolvedMention">
    <w:name w:val="Unresolved Mention"/>
    <w:basedOn w:val="DefaultParagraphFont"/>
    <w:uiPriority w:val="99"/>
    <w:semiHidden/>
    <w:unhideWhenUsed/>
    <w:qFormat/>
    <w:rsid w:val="00900b43"/>
    <w:rPr>
      <w:color w:val="605E5C"/>
      <w:shd w:fill="E1DFDD" w:val="clear"/>
    </w:rPr>
  </w:style>
  <w:style w:type="character" w:styleId="IntestazioneCarattere" w:customStyle="1">
    <w:name w:val="Intestazione Carattere"/>
    <w:basedOn w:val="DefaultParagraphFont"/>
    <w:link w:val="Intestazione"/>
    <w:uiPriority w:val="99"/>
    <w:qFormat/>
    <w:rsid w:val="006261a5"/>
    <w:rPr>
      <w:rFonts w:ascii="Arial" w:hAnsi="Arial" w:eastAsia="Arial" w:cs="Arial"/>
      <w:lang w:val="it-IT"/>
    </w:rPr>
  </w:style>
  <w:style w:type="character" w:styleId="PidipaginaCarattere" w:customStyle="1">
    <w:name w:val="Piè di pagina Carattere"/>
    <w:basedOn w:val="DefaultParagraphFont"/>
    <w:link w:val="Pidipagina"/>
    <w:uiPriority w:val="99"/>
    <w:qFormat/>
    <w:rsid w:val="006261a5"/>
    <w:rPr>
      <w:rFonts w:ascii="Arial" w:hAnsi="Arial" w:eastAsia="Arial" w:cs="Arial"/>
      <w:lang w:val="it-I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uiPriority w:val="1"/>
    <w:qFormat/>
    <w:pPr>
      <w:ind w:left="175" w:hanging="0"/>
      <w:jc w:val="both"/>
    </w:pPr>
    <w:rPr>
      <w:sz w:val="20"/>
      <w:szCs w:val="20"/>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ListParagraph">
    <w:name w:val="List Paragraph"/>
    <w:basedOn w:val="Normal"/>
    <w:uiPriority w:val="1"/>
    <w:qFormat/>
    <w:pPr>
      <w:ind w:left="175" w:hanging="0"/>
      <w:jc w:val="both"/>
    </w:pPr>
    <w:rPr/>
  </w:style>
  <w:style w:type="paragraph" w:styleId="TableParagraph" w:customStyle="1">
    <w:name w:val="Table Paragraph"/>
    <w:basedOn w:val="Normal"/>
    <w:uiPriority w:val="1"/>
    <w:qFormat/>
    <w:pPr/>
    <w:rPr/>
  </w:style>
  <w:style w:type="paragraph" w:styleId="Intestazioneepidipagina">
    <w:name w:val="Intestazione e piè di pagina"/>
    <w:basedOn w:val="Normal"/>
    <w:qFormat/>
    <w:pPr/>
    <w:rPr/>
  </w:style>
  <w:style w:type="paragraph" w:styleId="Intestazione">
    <w:name w:val="Header"/>
    <w:basedOn w:val="Normal"/>
    <w:link w:val="IntestazioneCarattere"/>
    <w:uiPriority w:val="99"/>
    <w:unhideWhenUsed/>
    <w:rsid w:val="006261a5"/>
    <w:pPr>
      <w:tabs>
        <w:tab w:val="clear" w:pos="720"/>
        <w:tab w:val="center" w:pos="4819" w:leader="none"/>
        <w:tab w:val="right" w:pos="9638" w:leader="none"/>
      </w:tabs>
    </w:pPr>
    <w:rPr/>
  </w:style>
  <w:style w:type="paragraph" w:styleId="Pidipagina">
    <w:name w:val="Footer"/>
    <w:basedOn w:val="Normal"/>
    <w:link w:val="PidipaginaCarattere"/>
    <w:uiPriority w:val="99"/>
    <w:unhideWhenUsed/>
    <w:rsid w:val="006261a5"/>
    <w:pPr>
      <w:tabs>
        <w:tab w:val="clear" w:pos="720"/>
        <w:tab w:val="center" w:pos="4819" w:leader="none"/>
        <w:tab w:val="right" w:pos="9638" w:leader="none"/>
      </w:tabs>
    </w:pPr>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Application>LibreOffice/6.4.7.2$Windows_X86_64 LibreOffice_project/639b8ac485750d5696d7590a72ef1b496725cfb5</Application>
  <Pages>7</Pages>
  <Words>3928</Words>
  <Characters>22396</Characters>
  <CharactersWithSpaces>26272</CharactersWithSpaces>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2025-11-08T17:52:00Z</dcterms:created>
  <dc:creator>Viola Flora</dc:creator>
  <dc:description/>
  <dc:language>it-IT</dc:language>
  <cp:lastModifiedBy/>
  <cp:lastPrinted>2025-11-10T08:57:00Z</cp:lastPrinted>
  <dcterms:modified xsi:type="dcterms:W3CDTF">2026-06-19T10:22:41Z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2025-06-03T00:00:00Z</vt:filetime>
  </property>
  <property fmtid="{D5CDD505-2E9C-101B-9397-08002B2CF9AE}" pid="4" name="Creator">
    <vt:lpwstr>Writer</vt:lpwstr>
  </property>
  <property fmtid="{D5CDD505-2E9C-101B-9397-08002B2CF9AE}" pid="5" name="DocSecurity">
    <vt:i4>0</vt:i4>
  </property>
  <property fmtid="{D5CDD505-2E9C-101B-9397-08002B2CF9AE}" pid="6" name="HyperlinksChanged">
    <vt:bool>0</vt:bool>
  </property>
  <property fmtid="{D5CDD505-2E9C-101B-9397-08002B2CF9AE}" pid="7" name="LastSaved">
    <vt:filetime>2025-06-03T00:00:00Z</vt:filetime>
  </property>
  <property fmtid="{D5CDD505-2E9C-101B-9397-08002B2CF9AE}" pid="8" name="LinksUpToDate">
    <vt:bool>0</vt:bool>
  </property>
  <property fmtid="{D5CDD505-2E9C-101B-9397-08002B2CF9AE}" pid="9" name="Producer">
    <vt:lpwstr>LibreOffice 24.8.6.2 (X86_64) / LibreOffice Community</vt:lpwstr>
  </property>
  <property fmtid="{D5CDD505-2E9C-101B-9397-08002B2CF9AE}" pid="10" name="ScaleCrop">
    <vt:bool>0</vt:bool>
  </property>
  <property fmtid="{D5CDD505-2E9C-101B-9397-08002B2CF9AE}" pid="11" name="ShareDoc">
    <vt:bool>0</vt:bool>
  </property>
</Properties>
</file>